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45A0D" w14:textId="3A5723D4" w:rsidR="00B90F69" w:rsidRPr="0058002A" w:rsidRDefault="00B90F69" w:rsidP="00132A04">
      <w:pPr>
        <w:autoSpaceDE w:val="0"/>
        <w:autoSpaceDN w:val="0"/>
        <w:adjustRightInd w:val="0"/>
        <w:spacing w:after="120"/>
        <w:rPr>
          <w:rFonts w:ascii="Arial Narrow" w:hAnsi="Arial Narrow" w:cs="Arial"/>
          <w:bCs/>
          <w:color w:val="000000"/>
          <w:sz w:val="26"/>
          <w:szCs w:val="26"/>
        </w:rPr>
      </w:pPr>
    </w:p>
    <w:p w14:paraId="4FAEABC7" w14:textId="77777777" w:rsidR="00B05E22" w:rsidRPr="003B51ED" w:rsidRDefault="00B05E22" w:rsidP="003B51ED">
      <w:pPr>
        <w:autoSpaceDE w:val="0"/>
        <w:autoSpaceDN w:val="0"/>
        <w:adjustRightInd w:val="0"/>
        <w:spacing w:after="120"/>
        <w:rPr>
          <w:rFonts w:ascii="Arial Narrow" w:hAnsi="Arial Narrow" w:cs="Arial"/>
          <w:bCs/>
          <w:color w:val="000000"/>
          <w:sz w:val="26"/>
          <w:szCs w:val="26"/>
        </w:rPr>
      </w:pPr>
    </w:p>
    <w:p w14:paraId="7B00DA7D" w14:textId="0E8029E1" w:rsidR="002F6D38" w:rsidRPr="00132A04" w:rsidRDefault="002F6D38" w:rsidP="00132A04">
      <w:pPr>
        <w:spacing w:after="120"/>
        <w:rPr>
          <w:rFonts w:ascii="Arial Narrow" w:hAnsi="Arial Narrow" w:cs="Arial"/>
          <w:b/>
          <w:bCs/>
          <w:color w:val="E42618"/>
          <w:sz w:val="28"/>
          <w:szCs w:val="28"/>
        </w:rPr>
      </w:pPr>
      <w:r w:rsidRPr="0094454B">
        <w:rPr>
          <w:rFonts w:ascii="Arial Narrow" w:hAnsi="Arial Narrow" w:cs="Arial"/>
          <w:b/>
          <w:bCs/>
          <w:color w:val="E42618"/>
          <w:sz w:val="28"/>
          <w:szCs w:val="28"/>
        </w:rPr>
        <w:t xml:space="preserve">LE </w:t>
      </w:r>
      <w:r w:rsidR="00344F54" w:rsidRPr="0094454B">
        <w:rPr>
          <w:rFonts w:ascii="Arial Narrow" w:hAnsi="Arial Narrow" w:cs="Arial"/>
          <w:b/>
          <w:bCs/>
          <w:color w:val="E42618"/>
          <w:sz w:val="28"/>
          <w:szCs w:val="28"/>
        </w:rPr>
        <w:t>SPESE</w:t>
      </w:r>
      <w:r w:rsidR="007123DA" w:rsidRPr="0094454B">
        <w:rPr>
          <w:rFonts w:ascii="Arial Narrow" w:hAnsi="Arial Narrow" w:cs="Arial"/>
          <w:b/>
          <w:bCs/>
          <w:color w:val="E42618"/>
          <w:sz w:val="28"/>
          <w:szCs w:val="28"/>
        </w:rPr>
        <w:t xml:space="preserve"> </w:t>
      </w:r>
      <w:r w:rsidR="007E29CB" w:rsidRPr="0094454B">
        <w:rPr>
          <w:rFonts w:ascii="Arial Narrow" w:hAnsi="Arial Narrow" w:cs="Arial"/>
          <w:b/>
          <w:bCs/>
          <w:color w:val="E42618"/>
          <w:sz w:val="28"/>
          <w:szCs w:val="28"/>
        </w:rPr>
        <w:t xml:space="preserve">PER I CONSUMI </w:t>
      </w:r>
      <w:r w:rsidR="007123DA" w:rsidRPr="0094454B">
        <w:rPr>
          <w:rFonts w:ascii="Arial Narrow" w:hAnsi="Arial Narrow" w:cs="Arial"/>
          <w:b/>
          <w:bCs/>
          <w:color w:val="E42618"/>
          <w:sz w:val="28"/>
          <w:szCs w:val="28"/>
        </w:rPr>
        <w:t>DELLE FAMIGLIE</w:t>
      </w:r>
      <w:r w:rsidR="00B90F69" w:rsidRPr="0094454B">
        <w:rPr>
          <w:rFonts w:ascii="Arial Narrow" w:hAnsi="Arial Narrow" w:cs="Arial"/>
          <w:b/>
          <w:bCs/>
          <w:color w:val="E42618"/>
          <w:sz w:val="28"/>
          <w:szCs w:val="28"/>
        </w:rPr>
        <w:t xml:space="preserve"> </w:t>
      </w:r>
      <w:r w:rsidRPr="0094454B">
        <w:rPr>
          <w:rFonts w:ascii="Arial Narrow" w:hAnsi="Arial Narrow" w:cs="Arial"/>
          <w:b/>
          <w:bCs/>
          <w:color w:val="1F497D" w:themeColor="text2"/>
          <w:sz w:val="28"/>
          <w:szCs w:val="28"/>
        </w:rPr>
        <w:t>|</w:t>
      </w:r>
      <w:r w:rsidRPr="0094454B">
        <w:rPr>
          <w:rFonts w:ascii="Arial Narrow" w:hAnsi="Arial Narrow" w:cs="Arial"/>
          <w:b/>
          <w:bCs/>
          <w:color w:val="E42618"/>
          <w:sz w:val="28"/>
          <w:szCs w:val="28"/>
        </w:rPr>
        <w:t xml:space="preserve"> </w:t>
      </w:r>
      <w:r w:rsidR="00B90F69" w:rsidRPr="0089775B">
        <w:rPr>
          <w:rFonts w:ascii="Arial Narrow" w:hAnsi="Arial Narrow" w:cs="Arial"/>
          <w:b/>
          <w:bCs/>
          <w:color w:val="E42618"/>
          <w:sz w:val="28"/>
          <w:szCs w:val="28"/>
        </w:rPr>
        <w:t>ANN</w:t>
      </w:r>
      <w:r w:rsidR="00344F54" w:rsidRPr="0089775B">
        <w:rPr>
          <w:rFonts w:ascii="Arial Narrow" w:hAnsi="Arial Narrow" w:cs="Arial"/>
          <w:b/>
          <w:bCs/>
          <w:color w:val="E42618"/>
          <w:sz w:val="28"/>
          <w:szCs w:val="28"/>
        </w:rPr>
        <w:t>O</w:t>
      </w:r>
      <w:r w:rsidRPr="0089775B">
        <w:rPr>
          <w:rFonts w:ascii="Arial Narrow" w:hAnsi="Arial Narrow" w:cs="Arial"/>
          <w:b/>
          <w:bCs/>
          <w:color w:val="E42618"/>
          <w:sz w:val="28"/>
          <w:szCs w:val="28"/>
        </w:rPr>
        <w:t xml:space="preserve"> 20</w:t>
      </w:r>
      <w:r w:rsidR="00D8424D" w:rsidRPr="0089775B">
        <w:rPr>
          <w:rFonts w:ascii="Arial Narrow" w:hAnsi="Arial Narrow" w:cs="Arial"/>
          <w:b/>
          <w:bCs/>
          <w:color w:val="E42618"/>
          <w:sz w:val="28"/>
          <w:szCs w:val="28"/>
        </w:rPr>
        <w:t>20</w:t>
      </w:r>
    </w:p>
    <w:p w14:paraId="6ACAEE82" w14:textId="77777777" w:rsidR="00A2532B" w:rsidRPr="00132A04" w:rsidRDefault="00A2532B" w:rsidP="00A2532B">
      <w:pPr>
        <w:spacing w:after="120"/>
        <w:rPr>
          <w:rFonts w:ascii="Arial Narrow" w:hAnsi="Arial Narrow" w:cs="Arial"/>
          <w:color w:val="1F497D" w:themeColor="text2"/>
          <w:sz w:val="18"/>
          <w:szCs w:val="18"/>
        </w:rPr>
      </w:pPr>
    </w:p>
    <w:p w14:paraId="062CF03C" w14:textId="314B34D3" w:rsidR="007878AB" w:rsidRPr="0089775B" w:rsidRDefault="00E9176D" w:rsidP="003D5278">
      <w:pPr>
        <w:tabs>
          <w:tab w:val="left" w:pos="851"/>
        </w:tabs>
        <w:autoSpaceDE w:val="0"/>
        <w:autoSpaceDN w:val="0"/>
        <w:adjustRightInd w:val="0"/>
        <w:rPr>
          <w:rFonts w:ascii="Georgia" w:hAnsi="Georgia" w:cs="Arial"/>
          <w:bCs/>
          <w:color w:val="1F497D" w:themeColor="text2"/>
          <w:spacing w:val="-16"/>
          <w:sz w:val="48"/>
          <w:szCs w:val="48"/>
        </w:rPr>
      </w:pPr>
      <w:r>
        <w:rPr>
          <w:rFonts w:ascii="Georgia" w:hAnsi="Georgia" w:cs="Arial"/>
          <w:bCs/>
          <w:color w:val="1F497D" w:themeColor="text2"/>
          <w:sz w:val="52"/>
          <w:szCs w:val="52"/>
        </w:rPr>
        <w:t>S</w:t>
      </w:r>
      <w:r w:rsidR="00D60F41" w:rsidRPr="0089775B">
        <w:rPr>
          <w:rFonts w:ascii="Georgia" w:hAnsi="Georgia" w:cs="Arial"/>
          <w:bCs/>
          <w:color w:val="1F497D" w:themeColor="text2"/>
          <w:sz w:val="52"/>
          <w:szCs w:val="52"/>
        </w:rPr>
        <w:t xml:space="preserve">pesa media mensile </w:t>
      </w:r>
      <w:r w:rsidR="008D074F" w:rsidRPr="0089775B">
        <w:rPr>
          <w:rFonts w:ascii="Georgia" w:hAnsi="Georgia" w:cs="Arial"/>
          <w:bCs/>
          <w:color w:val="1F497D" w:themeColor="text2"/>
          <w:sz w:val="52"/>
          <w:szCs w:val="52"/>
        </w:rPr>
        <w:t>in calo</w:t>
      </w:r>
      <w:r w:rsidR="00465C6E" w:rsidRPr="0089775B">
        <w:rPr>
          <w:rFonts w:ascii="Georgia" w:hAnsi="Georgia" w:cs="Arial"/>
          <w:bCs/>
          <w:color w:val="1F497D" w:themeColor="text2"/>
          <w:sz w:val="52"/>
          <w:szCs w:val="52"/>
        </w:rPr>
        <w:t xml:space="preserve"> </w:t>
      </w:r>
      <w:r>
        <w:rPr>
          <w:rFonts w:ascii="Georgia" w:hAnsi="Georgia" w:cs="Arial"/>
          <w:bCs/>
          <w:color w:val="1F497D" w:themeColor="text2"/>
          <w:sz w:val="52"/>
          <w:szCs w:val="52"/>
        </w:rPr>
        <w:t xml:space="preserve">del </w:t>
      </w:r>
      <w:r w:rsidR="00DB0E80">
        <w:rPr>
          <w:rFonts w:ascii="Georgia" w:hAnsi="Georgia" w:cs="Arial"/>
          <w:bCs/>
          <w:color w:val="1F497D" w:themeColor="text2"/>
          <w:sz w:val="52"/>
          <w:szCs w:val="52"/>
        </w:rPr>
        <w:t>9</w:t>
      </w:r>
      <w:r w:rsidR="001C3665">
        <w:rPr>
          <w:rFonts w:ascii="Georgia" w:hAnsi="Georgia" w:cs="Arial"/>
          <w:bCs/>
          <w:color w:val="1F497D" w:themeColor="text2"/>
          <w:sz w:val="52"/>
          <w:szCs w:val="52"/>
        </w:rPr>
        <w:t>,0</w:t>
      </w:r>
      <w:r w:rsidR="00DB0E80">
        <w:rPr>
          <w:rFonts w:ascii="Georgia" w:hAnsi="Georgia" w:cs="Arial"/>
          <w:bCs/>
          <w:color w:val="1F497D" w:themeColor="text2"/>
          <w:sz w:val="52"/>
          <w:szCs w:val="52"/>
        </w:rPr>
        <w:t>%</w:t>
      </w:r>
      <w:r>
        <w:rPr>
          <w:rFonts w:ascii="Georgia" w:hAnsi="Georgia" w:cs="Arial"/>
          <w:bCs/>
          <w:color w:val="1F497D" w:themeColor="text2"/>
          <w:sz w:val="52"/>
          <w:szCs w:val="52"/>
        </w:rPr>
        <w:t xml:space="preserve"> </w:t>
      </w:r>
      <w:r w:rsidR="00D425F9" w:rsidRPr="0089775B">
        <w:rPr>
          <w:rFonts w:ascii="Georgia" w:hAnsi="Georgia" w:cs="Arial"/>
          <w:bCs/>
          <w:color w:val="1F497D" w:themeColor="text2"/>
          <w:sz w:val="52"/>
          <w:szCs w:val="52"/>
        </w:rPr>
        <w:t xml:space="preserve">rispetto </w:t>
      </w:r>
      <w:r w:rsidR="00DB0E80">
        <w:rPr>
          <w:rFonts w:ascii="Georgia" w:hAnsi="Georgia" w:cs="Arial"/>
          <w:bCs/>
          <w:color w:val="1F497D" w:themeColor="text2"/>
          <w:sz w:val="52"/>
          <w:szCs w:val="52"/>
        </w:rPr>
        <w:t>al 2019</w:t>
      </w:r>
    </w:p>
    <w:p w14:paraId="0508DCC8" w14:textId="4B5611F5" w:rsidR="00E472AB" w:rsidRPr="0089775B" w:rsidRDefault="00B90F69">
      <w:pPr>
        <w:tabs>
          <w:tab w:val="left" w:pos="851"/>
        </w:tabs>
        <w:autoSpaceDE w:val="0"/>
        <w:autoSpaceDN w:val="0"/>
        <w:adjustRightInd w:val="0"/>
        <w:jc w:val="both"/>
        <w:rPr>
          <w:rFonts w:ascii="Georgia" w:hAnsi="Georgia" w:cs="Arial"/>
          <w:bCs/>
          <w:color w:val="1F497D" w:themeColor="text2"/>
          <w:sz w:val="28"/>
          <w:szCs w:val="28"/>
        </w:rPr>
      </w:pPr>
      <w:r w:rsidRPr="0089775B">
        <w:rPr>
          <w:rFonts w:ascii="Georgia" w:hAnsi="Georgia" w:cs="Arial"/>
          <w:bCs/>
          <w:noProof/>
          <w:color w:val="1F497D" w:themeColor="text2"/>
          <w:sz w:val="28"/>
          <w:szCs w:val="28"/>
        </w:rPr>
        <mc:AlternateContent>
          <mc:Choice Requires="wps">
            <w:drawing>
              <wp:anchor distT="0" distB="0" distL="114300" distR="114300" simplePos="0" relativeHeight="251687936" behindDoc="0" locked="0" layoutInCell="1" allowOverlap="1" wp14:anchorId="6F942F8B" wp14:editId="1C935FCD">
                <wp:simplePos x="0" y="0"/>
                <wp:positionH relativeFrom="column">
                  <wp:posOffset>-528955</wp:posOffset>
                </wp:positionH>
                <wp:positionV relativeFrom="paragraph">
                  <wp:posOffset>168910</wp:posOffset>
                </wp:positionV>
                <wp:extent cx="438150" cy="381000"/>
                <wp:effectExtent l="0" t="19050" r="38100" b="38100"/>
                <wp:wrapNone/>
                <wp:docPr id="17" name="Freccia a destra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F8F55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7" o:spid="_x0000_s1026" type="#_x0000_t13" style="position:absolute;margin-left:-41.65pt;margin-top:13.3pt;width:34.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" adj="12209" fillcolor="#e42618" strokecolor="#e42618" strokeweight="2pt">
                <v:path arrowok="t"/>
                <o:lock v:ext="edit" aspectratio="t"/>
              </v:shape>
            </w:pict>
          </mc:Fallback>
        </mc:AlternateContent>
      </w:r>
    </w:p>
    <w:p w14:paraId="400A93DD" w14:textId="61681A74" w:rsidR="00E472AB" w:rsidRPr="00476E5E" w:rsidRDefault="004F75B4" w:rsidP="002A317F">
      <w:pPr>
        <w:tabs>
          <w:tab w:val="left" w:pos="851"/>
        </w:tabs>
        <w:autoSpaceDE w:val="0"/>
        <w:autoSpaceDN w:val="0"/>
        <w:adjustRightInd w:val="0"/>
        <w:spacing w:after="120"/>
        <w:jc w:val="both"/>
        <w:rPr>
          <w:rFonts w:ascii="Georgia" w:hAnsi="Georgia" w:cs="Arial"/>
          <w:bCs/>
          <w:color w:val="1F497D" w:themeColor="text2"/>
          <w:sz w:val="28"/>
          <w:szCs w:val="28"/>
        </w:rPr>
      </w:pPr>
      <w:r w:rsidRPr="0089775B">
        <w:rPr>
          <w:rFonts w:ascii="Georgia" w:hAnsi="Georgia" w:cs="Arial"/>
          <w:bCs/>
          <w:color w:val="1F497D" w:themeColor="text2"/>
          <w:sz w:val="28"/>
          <w:szCs w:val="28"/>
        </w:rPr>
        <w:t>L</w:t>
      </w:r>
      <w:r w:rsidR="00D60F41" w:rsidRPr="0089775B">
        <w:rPr>
          <w:rFonts w:ascii="Georgia" w:hAnsi="Georgia" w:cs="Arial"/>
          <w:bCs/>
          <w:color w:val="1F497D" w:themeColor="text2"/>
          <w:sz w:val="28"/>
          <w:szCs w:val="28"/>
        </w:rPr>
        <w:t xml:space="preserve">a stima della spesa media mensile </w:t>
      </w:r>
      <w:r w:rsidR="008201C0" w:rsidRPr="0089775B">
        <w:rPr>
          <w:rFonts w:ascii="Georgia" w:hAnsi="Georgia" w:cs="Arial"/>
          <w:bCs/>
          <w:color w:val="1F497D" w:themeColor="text2"/>
          <w:sz w:val="28"/>
          <w:szCs w:val="28"/>
        </w:rPr>
        <w:t xml:space="preserve">per consumi </w:t>
      </w:r>
      <w:r w:rsidR="00D60F41" w:rsidRPr="0089775B">
        <w:rPr>
          <w:rFonts w:ascii="Georgia" w:hAnsi="Georgia" w:cs="Arial"/>
          <w:bCs/>
          <w:color w:val="1F497D" w:themeColor="text2"/>
          <w:sz w:val="28"/>
          <w:szCs w:val="28"/>
        </w:rPr>
        <w:t>delle famiglie residenti è pari</w:t>
      </w:r>
      <w:r w:rsidR="009A6313" w:rsidRPr="0089775B">
        <w:rPr>
          <w:rFonts w:ascii="Georgia" w:hAnsi="Georgia" w:cs="Arial"/>
          <w:bCs/>
          <w:color w:val="1F497D" w:themeColor="text2"/>
          <w:sz w:val="28"/>
          <w:szCs w:val="28"/>
        </w:rPr>
        <w:t xml:space="preserve"> </w:t>
      </w:r>
      <w:r w:rsidR="00D60F41" w:rsidRPr="0089775B">
        <w:rPr>
          <w:rFonts w:ascii="Georgia" w:hAnsi="Georgia" w:cs="Arial"/>
          <w:bCs/>
          <w:color w:val="1F497D" w:themeColor="text2"/>
          <w:sz w:val="28"/>
          <w:szCs w:val="28"/>
        </w:rPr>
        <w:t xml:space="preserve">a </w:t>
      </w:r>
      <w:r w:rsidR="00D60F41" w:rsidRPr="0089775B">
        <w:rPr>
          <w:rFonts w:ascii="Georgia" w:hAnsi="Georgia" w:cs="Arial"/>
          <w:b/>
          <w:bCs/>
          <w:color w:val="1F497D" w:themeColor="text2"/>
          <w:sz w:val="28"/>
          <w:szCs w:val="28"/>
        </w:rPr>
        <w:t>2.</w:t>
      </w:r>
      <w:r w:rsidR="008D074F" w:rsidRPr="0089775B">
        <w:rPr>
          <w:rFonts w:ascii="Georgia" w:hAnsi="Georgia" w:cs="Arial"/>
          <w:b/>
          <w:bCs/>
          <w:color w:val="1F497D" w:themeColor="text2"/>
          <w:sz w:val="28"/>
          <w:szCs w:val="28"/>
        </w:rPr>
        <w:t>328</w:t>
      </w:r>
      <w:r w:rsidR="00D60F41" w:rsidRPr="0089775B">
        <w:rPr>
          <w:rFonts w:ascii="Georgia" w:hAnsi="Georgia" w:cs="Arial"/>
          <w:b/>
          <w:bCs/>
          <w:color w:val="1F497D" w:themeColor="text2"/>
          <w:sz w:val="28"/>
          <w:szCs w:val="28"/>
        </w:rPr>
        <w:t xml:space="preserve"> euro</w:t>
      </w:r>
      <w:r w:rsidR="00D60F41" w:rsidRPr="0089775B">
        <w:rPr>
          <w:rFonts w:ascii="Georgia" w:hAnsi="Georgia" w:cs="Arial"/>
          <w:bCs/>
          <w:color w:val="1F497D" w:themeColor="text2"/>
          <w:sz w:val="28"/>
          <w:szCs w:val="28"/>
        </w:rPr>
        <w:t xml:space="preserve"> </w:t>
      </w:r>
      <w:r w:rsidR="007E29CB" w:rsidRPr="0089775B">
        <w:rPr>
          <w:rFonts w:ascii="Georgia" w:hAnsi="Georgia" w:cs="Arial"/>
          <w:bCs/>
          <w:color w:val="1F497D" w:themeColor="text2"/>
          <w:sz w:val="28"/>
          <w:szCs w:val="28"/>
        </w:rPr>
        <w:t>in valori correnti</w:t>
      </w:r>
      <w:r w:rsidR="00DB0E80">
        <w:rPr>
          <w:rFonts w:ascii="Georgia" w:hAnsi="Georgia" w:cs="Arial"/>
          <w:bCs/>
          <w:color w:val="1F497D" w:themeColor="text2"/>
          <w:sz w:val="28"/>
          <w:szCs w:val="28"/>
        </w:rPr>
        <w:t xml:space="preserve"> (2.560 euro nel 2019)</w:t>
      </w:r>
      <w:r w:rsidR="007E29CB" w:rsidRPr="0089775B">
        <w:rPr>
          <w:rFonts w:ascii="Georgia" w:hAnsi="Georgia" w:cs="Arial"/>
          <w:bCs/>
          <w:color w:val="1F497D" w:themeColor="text2"/>
          <w:sz w:val="28"/>
          <w:szCs w:val="28"/>
        </w:rPr>
        <w:t>.</w:t>
      </w:r>
      <w:r w:rsidR="00D60F41" w:rsidRPr="0089775B">
        <w:rPr>
          <w:rFonts w:ascii="Georgia" w:hAnsi="Georgia" w:cs="Arial"/>
          <w:bCs/>
          <w:color w:val="1F497D" w:themeColor="text2"/>
          <w:sz w:val="28"/>
          <w:szCs w:val="28"/>
        </w:rPr>
        <w:t xml:space="preserve"> </w:t>
      </w:r>
      <w:r w:rsidR="00465C6E" w:rsidRPr="0089775B">
        <w:rPr>
          <w:rFonts w:ascii="Georgia" w:hAnsi="Georgia" w:cs="Arial"/>
          <w:bCs/>
          <w:color w:val="1F497D" w:themeColor="text2"/>
          <w:sz w:val="28"/>
          <w:szCs w:val="28"/>
        </w:rPr>
        <w:t xml:space="preserve">La metà delle famiglie spende più di </w:t>
      </w:r>
      <w:r w:rsidR="008D074F" w:rsidRPr="0089775B">
        <w:rPr>
          <w:rFonts w:ascii="Georgia" w:hAnsi="Georgia" w:cs="Arial"/>
          <w:bCs/>
          <w:color w:val="1F497D" w:themeColor="text2"/>
          <w:sz w:val="28"/>
          <w:szCs w:val="28"/>
        </w:rPr>
        <w:t>1</w:t>
      </w:r>
      <w:r w:rsidR="00465C6E" w:rsidRPr="0089775B">
        <w:rPr>
          <w:rFonts w:ascii="Georgia" w:hAnsi="Georgia" w:cs="Arial"/>
          <w:bCs/>
          <w:color w:val="1F497D" w:themeColor="text2"/>
          <w:sz w:val="28"/>
          <w:szCs w:val="28"/>
        </w:rPr>
        <w:t>.</w:t>
      </w:r>
      <w:r w:rsidR="00476E5E" w:rsidRPr="0089775B">
        <w:rPr>
          <w:rFonts w:ascii="Georgia" w:hAnsi="Georgia" w:cs="Arial"/>
          <w:bCs/>
          <w:color w:val="1F497D" w:themeColor="text2"/>
          <w:sz w:val="28"/>
          <w:szCs w:val="28"/>
        </w:rPr>
        <w:t>9</w:t>
      </w:r>
      <w:r w:rsidR="008D074F" w:rsidRPr="0089775B">
        <w:rPr>
          <w:rFonts w:ascii="Georgia" w:hAnsi="Georgia" w:cs="Arial"/>
          <w:bCs/>
          <w:color w:val="1F497D" w:themeColor="text2"/>
          <w:sz w:val="28"/>
          <w:szCs w:val="28"/>
        </w:rPr>
        <w:t>62</w:t>
      </w:r>
      <w:r w:rsidR="00465C6E" w:rsidRPr="0089775B">
        <w:rPr>
          <w:rFonts w:ascii="Georgia" w:hAnsi="Georgia" w:cs="Arial"/>
          <w:bCs/>
          <w:color w:val="1F497D" w:themeColor="text2"/>
          <w:sz w:val="28"/>
          <w:szCs w:val="28"/>
        </w:rPr>
        <w:t xml:space="preserve"> euro al mese.</w:t>
      </w:r>
      <w:r w:rsidR="00D60F41" w:rsidRPr="00476E5E">
        <w:rPr>
          <w:rFonts w:ascii="Georgia" w:hAnsi="Georgia" w:cs="Arial"/>
          <w:bCs/>
          <w:color w:val="1F497D" w:themeColor="text2"/>
          <w:sz w:val="28"/>
          <w:szCs w:val="28"/>
        </w:rPr>
        <w:t xml:space="preserve"> </w:t>
      </w:r>
    </w:p>
    <w:p w14:paraId="2297C434" w14:textId="75435FFF" w:rsidR="0043752E" w:rsidRPr="00476E5E" w:rsidRDefault="00DB0E80" w:rsidP="002A317F">
      <w:pPr>
        <w:tabs>
          <w:tab w:val="left" w:pos="851"/>
        </w:tabs>
        <w:autoSpaceDE w:val="0"/>
        <w:autoSpaceDN w:val="0"/>
        <w:adjustRightInd w:val="0"/>
        <w:spacing w:after="120"/>
        <w:jc w:val="both"/>
        <w:rPr>
          <w:rFonts w:ascii="Georgia" w:hAnsi="Georgia" w:cs="Arial"/>
          <w:bCs/>
          <w:color w:val="1F497D" w:themeColor="text2"/>
          <w:sz w:val="28"/>
          <w:szCs w:val="28"/>
        </w:rPr>
      </w:pPr>
      <w:r>
        <w:rPr>
          <w:rFonts w:ascii="Georgia" w:hAnsi="Georgia" w:cs="Arial"/>
          <w:bCs/>
          <w:color w:val="1F497D" w:themeColor="text2"/>
          <w:sz w:val="28"/>
          <w:szCs w:val="28"/>
        </w:rPr>
        <w:t xml:space="preserve">Pur rimanendo ampi, si attenuano per il secondo anno consecutivo </w:t>
      </w:r>
      <w:r w:rsidR="0043752E" w:rsidRPr="00476E5E">
        <w:rPr>
          <w:rFonts w:ascii="Georgia" w:hAnsi="Georgia" w:cs="Arial"/>
          <w:bCs/>
          <w:color w:val="1F497D" w:themeColor="text2"/>
          <w:sz w:val="28"/>
          <w:szCs w:val="28"/>
        </w:rPr>
        <w:t xml:space="preserve">i </w:t>
      </w:r>
      <w:r w:rsidR="0043752E" w:rsidRPr="00476E5E">
        <w:rPr>
          <w:rFonts w:ascii="Georgia" w:hAnsi="Georgia" w:cs="Arial"/>
          <w:b/>
          <w:bCs/>
          <w:color w:val="1F497D" w:themeColor="text2"/>
          <w:sz w:val="28"/>
          <w:szCs w:val="28"/>
        </w:rPr>
        <w:t>divari territoriali</w:t>
      </w:r>
      <w:r w:rsidR="00D932CC">
        <w:rPr>
          <w:rFonts w:ascii="Georgia" w:hAnsi="Georgia" w:cs="Arial"/>
          <w:b/>
          <w:bCs/>
          <w:color w:val="1F497D" w:themeColor="text2"/>
          <w:sz w:val="28"/>
          <w:szCs w:val="28"/>
        </w:rPr>
        <w:t xml:space="preserve">, </w:t>
      </w:r>
      <w:r w:rsidR="004E7E4B" w:rsidRPr="004E7E4B">
        <w:rPr>
          <w:rFonts w:ascii="Georgia" w:hAnsi="Georgia" w:cs="Arial"/>
          <w:bCs/>
          <w:color w:val="1F497D" w:themeColor="text2"/>
          <w:sz w:val="28"/>
          <w:szCs w:val="28"/>
        </w:rPr>
        <w:t>627 euro tra Nord-est e</w:t>
      </w:r>
      <w:r w:rsidR="0043752E" w:rsidRPr="004E7E4B">
        <w:rPr>
          <w:rFonts w:ascii="Georgia" w:hAnsi="Georgia" w:cs="Arial"/>
          <w:bCs/>
          <w:color w:val="1F497D" w:themeColor="text2"/>
          <w:sz w:val="28"/>
          <w:szCs w:val="28"/>
        </w:rPr>
        <w:t xml:space="preserve"> Sud</w:t>
      </w:r>
      <w:r w:rsidR="00D932CC">
        <w:rPr>
          <w:rFonts w:ascii="Georgia" w:hAnsi="Georgia" w:cs="Arial"/>
          <w:bCs/>
          <w:color w:val="1F497D" w:themeColor="text2"/>
          <w:sz w:val="28"/>
          <w:szCs w:val="28"/>
        </w:rPr>
        <w:t xml:space="preserve"> da</w:t>
      </w:r>
      <w:r w:rsidR="00EA64DC">
        <w:rPr>
          <w:rFonts w:ascii="Georgia" w:hAnsi="Georgia" w:cs="Arial"/>
          <w:bCs/>
          <w:color w:val="1F497D" w:themeColor="text2"/>
          <w:sz w:val="28"/>
          <w:szCs w:val="28"/>
        </w:rPr>
        <w:t xml:space="preserve"> </w:t>
      </w:r>
      <w:r w:rsidR="00EA64DC" w:rsidRPr="004E7E4B">
        <w:rPr>
          <w:rFonts w:ascii="Georgia" w:hAnsi="Georgia" w:cs="Arial"/>
          <w:bCs/>
          <w:color w:val="1F497D" w:themeColor="text2"/>
          <w:sz w:val="28"/>
          <w:szCs w:val="28"/>
        </w:rPr>
        <w:t xml:space="preserve">722 euro </w:t>
      </w:r>
      <w:r w:rsidR="004E7E4B" w:rsidRPr="004E7E4B">
        <w:rPr>
          <w:rFonts w:ascii="Georgia" w:hAnsi="Georgia" w:cs="Arial"/>
          <w:bCs/>
          <w:color w:val="1F497D" w:themeColor="text2"/>
          <w:sz w:val="28"/>
          <w:szCs w:val="28"/>
        </w:rPr>
        <w:t>nel 2019</w:t>
      </w:r>
      <w:r w:rsidR="0043752E" w:rsidRPr="004E7E4B">
        <w:rPr>
          <w:rFonts w:ascii="Georgia" w:hAnsi="Georgia" w:cs="Arial"/>
          <w:bCs/>
          <w:color w:val="1F497D" w:themeColor="text2"/>
          <w:sz w:val="28"/>
          <w:szCs w:val="28"/>
        </w:rPr>
        <w:t>.</w:t>
      </w:r>
    </w:p>
    <w:p w14:paraId="086F596C" w14:textId="1AED957C" w:rsidR="00D60F41" w:rsidRDefault="00DC5C9C" w:rsidP="002A317F">
      <w:pPr>
        <w:tabs>
          <w:tab w:val="left" w:pos="851"/>
        </w:tabs>
        <w:autoSpaceDE w:val="0"/>
        <w:autoSpaceDN w:val="0"/>
        <w:adjustRightInd w:val="0"/>
        <w:spacing w:after="120"/>
        <w:jc w:val="both"/>
        <w:rPr>
          <w:rFonts w:ascii="Georgia" w:hAnsi="Georgia" w:cs="Arial"/>
          <w:bCs/>
          <w:color w:val="1F497D" w:themeColor="text2"/>
          <w:sz w:val="28"/>
          <w:szCs w:val="28"/>
        </w:rPr>
      </w:pPr>
      <w:r w:rsidRPr="0089775B">
        <w:rPr>
          <w:rFonts w:ascii="Georgia" w:hAnsi="Georgia" w:cs="Arial"/>
          <w:bCs/>
          <w:color w:val="1F497D" w:themeColor="text2"/>
          <w:sz w:val="28"/>
          <w:szCs w:val="28"/>
        </w:rPr>
        <w:t>S</w:t>
      </w:r>
      <w:r w:rsidR="00A22A04" w:rsidRPr="0089775B">
        <w:rPr>
          <w:rFonts w:ascii="Georgia" w:hAnsi="Georgia" w:cs="Arial"/>
          <w:bCs/>
          <w:color w:val="1F497D" w:themeColor="text2"/>
          <w:sz w:val="28"/>
          <w:szCs w:val="28"/>
        </w:rPr>
        <w:t>econdo stime</w:t>
      </w:r>
      <w:r w:rsidR="00027D32" w:rsidRPr="0089775B">
        <w:rPr>
          <w:rFonts w:ascii="Georgia" w:hAnsi="Georgia" w:cs="Arial"/>
          <w:bCs/>
          <w:color w:val="1F497D" w:themeColor="text2"/>
          <w:sz w:val="28"/>
          <w:szCs w:val="28"/>
        </w:rPr>
        <w:t xml:space="preserve"> </w:t>
      </w:r>
      <w:r w:rsidR="000A1463" w:rsidRPr="0089775B">
        <w:rPr>
          <w:rFonts w:ascii="Georgia" w:hAnsi="Georgia" w:cs="Arial"/>
          <w:bCs/>
          <w:color w:val="1F497D" w:themeColor="text2"/>
          <w:sz w:val="28"/>
          <w:szCs w:val="28"/>
        </w:rPr>
        <w:t>pr</w:t>
      </w:r>
      <w:r w:rsidR="000A1463">
        <w:rPr>
          <w:rFonts w:ascii="Georgia" w:hAnsi="Georgia" w:cs="Arial"/>
          <w:bCs/>
          <w:color w:val="1F497D" w:themeColor="text2"/>
          <w:sz w:val="28"/>
          <w:szCs w:val="28"/>
        </w:rPr>
        <w:t>eliminari</w:t>
      </w:r>
      <w:r w:rsidR="0043752E" w:rsidRPr="0089775B">
        <w:rPr>
          <w:rFonts w:ascii="Georgia" w:hAnsi="Georgia" w:cs="Arial"/>
          <w:bCs/>
          <w:color w:val="1F497D" w:themeColor="text2"/>
          <w:sz w:val="28"/>
          <w:szCs w:val="28"/>
        </w:rPr>
        <w:t>,</w:t>
      </w:r>
      <w:r w:rsidR="00027D32" w:rsidRPr="0089775B">
        <w:rPr>
          <w:rFonts w:ascii="Georgia" w:hAnsi="Georgia" w:cs="Arial"/>
          <w:bCs/>
          <w:color w:val="1F497D" w:themeColor="text2"/>
          <w:sz w:val="28"/>
          <w:szCs w:val="28"/>
        </w:rPr>
        <w:t xml:space="preserve"> </w:t>
      </w:r>
      <w:r w:rsidR="000A1463" w:rsidRPr="0089775B">
        <w:rPr>
          <w:rFonts w:ascii="Georgia" w:hAnsi="Georgia" w:cs="Arial"/>
          <w:bCs/>
          <w:color w:val="1F497D" w:themeColor="text2"/>
          <w:sz w:val="28"/>
          <w:szCs w:val="28"/>
        </w:rPr>
        <w:t xml:space="preserve">la spesa media mensile </w:t>
      </w:r>
      <w:r w:rsidR="004A7E82">
        <w:rPr>
          <w:rFonts w:ascii="Georgia" w:hAnsi="Georgia" w:cs="Arial"/>
          <w:bCs/>
          <w:color w:val="1F497D" w:themeColor="text2"/>
          <w:sz w:val="28"/>
          <w:szCs w:val="28"/>
        </w:rPr>
        <w:t xml:space="preserve">nel primo </w:t>
      </w:r>
      <w:r w:rsidR="004A7E82" w:rsidRPr="0089775B">
        <w:rPr>
          <w:rFonts w:ascii="Georgia" w:hAnsi="Georgia" w:cs="Arial"/>
          <w:bCs/>
          <w:color w:val="1F497D" w:themeColor="text2"/>
          <w:sz w:val="28"/>
          <w:szCs w:val="28"/>
        </w:rPr>
        <w:t xml:space="preserve">trimestre </w:t>
      </w:r>
      <w:r w:rsidR="004A7E82">
        <w:rPr>
          <w:rFonts w:ascii="Georgia" w:hAnsi="Georgia" w:cs="Arial"/>
          <w:bCs/>
          <w:color w:val="1F497D" w:themeColor="text2"/>
          <w:sz w:val="28"/>
          <w:szCs w:val="28"/>
        </w:rPr>
        <w:t>del 2021</w:t>
      </w:r>
      <w:r w:rsidR="004A7E82" w:rsidRPr="000A1463">
        <w:rPr>
          <w:rFonts w:ascii="Georgia" w:hAnsi="Georgia" w:cs="Arial"/>
          <w:bCs/>
          <w:color w:val="1F497D" w:themeColor="text2"/>
          <w:sz w:val="28"/>
          <w:szCs w:val="28"/>
        </w:rPr>
        <w:t xml:space="preserve"> </w:t>
      </w:r>
      <w:r w:rsidR="000A1463">
        <w:rPr>
          <w:rFonts w:ascii="Georgia" w:hAnsi="Georgia" w:cs="Arial"/>
          <w:bCs/>
          <w:color w:val="1F497D" w:themeColor="text2"/>
          <w:sz w:val="28"/>
          <w:szCs w:val="28"/>
        </w:rPr>
        <w:t>diminuisce</w:t>
      </w:r>
      <w:r w:rsidR="000A1463" w:rsidRPr="0089775B">
        <w:rPr>
          <w:rFonts w:ascii="Georgia" w:hAnsi="Georgia" w:cs="Arial"/>
          <w:bCs/>
          <w:color w:val="1F497D" w:themeColor="text2"/>
          <w:sz w:val="28"/>
          <w:szCs w:val="28"/>
        </w:rPr>
        <w:t xml:space="preserve"> del </w:t>
      </w:r>
      <w:r w:rsidR="000A1463">
        <w:rPr>
          <w:rFonts w:ascii="Georgia" w:hAnsi="Georgia" w:cs="Arial"/>
          <w:bCs/>
          <w:color w:val="1F497D" w:themeColor="text2"/>
          <w:sz w:val="28"/>
          <w:szCs w:val="28"/>
        </w:rPr>
        <w:t>3</w:t>
      </w:r>
      <w:r w:rsidR="000A1463" w:rsidRPr="0089775B">
        <w:rPr>
          <w:rFonts w:ascii="Georgia" w:hAnsi="Georgia" w:cs="Arial"/>
          <w:bCs/>
          <w:color w:val="1F497D" w:themeColor="text2"/>
          <w:sz w:val="28"/>
          <w:szCs w:val="28"/>
        </w:rPr>
        <w:t>,</w:t>
      </w:r>
      <w:r w:rsidR="000A1463">
        <w:rPr>
          <w:rFonts w:ascii="Georgia" w:hAnsi="Georgia" w:cs="Arial"/>
          <w:bCs/>
          <w:color w:val="1F497D" w:themeColor="text2"/>
          <w:sz w:val="28"/>
          <w:szCs w:val="28"/>
        </w:rPr>
        <w:t>4</w:t>
      </w:r>
      <w:r w:rsidR="000A1463" w:rsidRPr="0089775B">
        <w:rPr>
          <w:rFonts w:ascii="Georgia" w:hAnsi="Georgia" w:cs="Arial"/>
          <w:bCs/>
          <w:color w:val="1F497D" w:themeColor="text2"/>
          <w:sz w:val="28"/>
          <w:szCs w:val="28"/>
        </w:rPr>
        <w:t xml:space="preserve">% rispetto </w:t>
      </w:r>
      <w:r w:rsidR="000A1463">
        <w:rPr>
          <w:rFonts w:ascii="Georgia" w:hAnsi="Georgia" w:cs="Arial"/>
          <w:bCs/>
          <w:color w:val="1F497D" w:themeColor="text2"/>
          <w:sz w:val="28"/>
          <w:szCs w:val="28"/>
        </w:rPr>
        <w:t>al</w:t>
      </w:r>
      <w:r w:rsidR="004A7E82">
        <w:rPr>
          <w:rFonts w:ascii="Georgia" w:hAnsi="Georgia" w:cs="Arial"/>
          <w:bCs/>
          <w:color w:val="1F497D" w:themeColor="text2"/>
          <w:sz w:val="28"/>
          <w:szCs w:val="28"/>
        </w:rPr>
        <w:t>lo stesso trimestre del 2020,</w:t>
      </w:r>
      <w:r w:rsidR="000A1463">
        <w:rPr>
          <w:rFonts w:ascii="Georgia" w:hAnsi="Georgia" w:cs="Arial"/>
          <w:bCs/>
          <w:color w:val="1F497D" w:themeColor="text2"/>
          <w:sz w:val="28"/>
          <w:szCs w:val="28"/>
        </w:rPr>
        <w:t xml:space="preserve"> </w:t>
      </w:r>
      <w:r w:rsidR="00D932CC">
        <w:rPr>
          <w:rFonts w:ascii="Georgia" w:hAnsi="Georgia" w:cs="Arial"/>
          <w:bCs/>
          <w:color w:val="1F497D" w:themeColor="text2"/>
          <w:sz w:val="28"/>
          <w:szCs w:val="28"/>
        </w:rPr>
        <w:t>per gli</w:t>
      </w:r>
      <w:r w:rsidR="000A1463">
        <w:rPr>
          <w:rFonts w:ascii="Georgia" w:hAnsi="Georgia" w:cs="Arial"/>
          <w:bCs/>
          <w:color w:val="1F497D" w:themeColor="text2"/>
          <w:sz w:val="28"/>
          <w:szCs w:val="28"/>
        </w:rPr>
        <w:t xml:space="preserve"> </w:t>
      </w:r>
      <w:r w:rsidR="000A1463" w:rsidRPr="0089775B">
        <w:rPr>
          <w:rFonts w:ascii="Georgia" w:hAnsi="Georgia" w:cs="Arial"/>
          <w:bCs/>
          <w:color w:val="1F497D" w:themeColor="text2"/>
          <w:sz w:val="28"/>
          <w:szCs w:val="28"/>
        </w:rPr>
        <w:t>effett</w:t>
      </w:r>
      <w:r w:rsidR="000A1463">
        <w:rPr>
          <w:rFonts w:ascii="Georgia" w:hAnsi="Georgia" w:cs="Arial"/>
          <w:bCs/>
          <w:color w:val="1F497D" w:themeColor="text2"/>
          <w:sz w:val="28"/>
          <w:szCs w:val="28"/>
        </w:rPr>
        <w:t>i</w:t>
      </w:r>
      <w:r w:rsidR="00D932CC">
        <w:rPr>
          <w:rFonts w:ascii="Georgia" w:hAnsi="Georgia" w:cs="Arial"/>
          <w:bCs/>
          <w:color w:val="1F497D" w:themeColor="text2"/>
          <w:sz w:val="28"/>
          <w:szCs w:val="28"/>
        </w:rPr>
        <w:t xml:space="preserve"> persistenti</w:t>
      </w:r>
      <w:r w:rsidR="000A1463" w:rsidRPr="0089775B">
        <w:rPr>
          <w:rFonts w:ascii="Georgia" w:hAnsi="Georgia" w:cs="Arial"/>
          <w:bCs/>
          <w:color w:val="1F497D" w:themeColor="text2"/>
          <w:sz w:val="28"/>
          <w:szCs w:val="28"/>
        </w:rPr>
        <w:t xml:space="preserve"> della crisi sanitaria</w:t>
      </w:r>
      <w:r w:rsidR="00D932CC">
        <w:rPr>
          <w:rFonts w:ascii="Georgia" w:hAnsi="Georgia" w:cs="Arial"/>
          <w:bCs/>
          <w:color w:val="1F497D" w:themeColor="text2"/>
          <w:sz w:val="28"/>
          <w:szCs w:val="28"/>
        </w:rPr>
        <w:t>.</w:t>
      </w:r>
      <w:r w:rsidR="000A1463">
        <w:rPr>
          <w:rFonts w:ascii="Georgia" w:hAnsi="Georgia" w:cs="Arial"/>
          <w:bCs/>
          <w:color w:val="1F497D" w:themeColor="text2"/>
          <w:sz w:val="28"/>
          <w:szCs w:val="28"/>
        </w:rPr>
        <w:t xml:space="preserve"> </w:t>
      </w:r>
      <w:r w:rsidR="00D932CC">
        <w:rPr>
          <w:rFonts w:ascii="Georgia" w:hAnsi="Georgia" w:cs="Arial"/>
          <w:bCs/>
          <w:color w:val="1F497D" w:themeColor="text2"/>
          <w:sz w:val="28"/>
          <w:szCs w:val="28"/>
        </w:rPr>
        <w:t>A</w:t>
      </w:r>
      <w:r w:rsidR="000A1463">
        <w:rPr>
          <w:rFonts w:ascii="Georgia" w:hAnsi="Georgia" w:cs="Arial"/>
          <w:bCs/>
          <w:color w:val="1F497D" w:themeColor="text2"/>
          <w:sz w:val="28"/>
          <w:szCs w:val="28"/>
        </w:rPr>
        <w:t>l netto dell</w:t>
      </w:r>
      <w:r w:rsidRPr="0089775B">
        <w:rPr>
          <w:rFonts w:ascii="Georgia" w:hAnsi="Georgia" w:cs="Arial"/>
          <w:bCs/>
          <w:color w:val="1F497D" w:themeColor="text2"/>
          <w:sz w:val="28"/>
          <w:szCs w:val="28"/>
        </w:rPr>
        <w:t xml:space="preserve">e spese alimentari e per l’abitazione, </w:t>
      </w:r>
      <w:r w:rsidR="000A1463">
        <w:rPr>
          <w:rFonts w:ascii="Georgia" w:hAnsi="Georgia" w:cs="Arial"/>
          <w:bCs/>
          <w:color w:val="1F497D" w:themeColor="text2"/>
          <w:sz w:val="28"/>
          <w:szCs w:val="28"/>
        </w:rPr>
        <w:t>il calo è più ampio e pari a -7,5%</w:t>
      </w:r>
      <w:r w:rsidR="0088059B" w:rsidRPr="0089775B">
        <w:rPr>
          <w:rFonts w:ascii="Georgia" w:hAnsi="Georgia" w:cs="Arial"/>
          <w:bCs/>
          <w:color w:val="1F497D" w:themeColor="text2"/>
          <w:sz w:val="28"/>
          <w:szCs w:val="28"/>
        </w:rPr>
        <w:t>.</w:t>
      </w:r>
    </w:p>
    <w:p w14:paraId="420CB9E9" w14:textId="77777777" w:rsidR="004F75B4" w:rsidRPr="00B9549F" w:rsidRDefault="004F75B4" w:rsidP="002A317F">
      <w:pPr>
        <w:tabs>
          <w:tab w:val="left" w:pos="851"/>
        </w:tabs>
        <w:autoSpaceDE w:val="0"/>
        <w:autoSpaceDN w:val="0"/>
        <w:adjustRightInd w:val="0"/>
        <w:spacing w:after="120"/>
        <w:jc w:val="both"/>
        <w:rPr>
          <w:rFonts w:ascii="Georgia" w:hAnsi="Georgia" w:cs="Arial"/>
          <w:bCs/>
          <w:color w:val="1F497D" w:themeColor="text2"/>
          <w:sz w:val="28"/>
          <w:szCs w:val="28"/>
        </w:rPr>
      </w:pPr>
    </w:p>
    <w:tbl>
      <w:tblPr>
        <w:tblStyle w:val="Grigliatabella"/>
        <w:tblW w:w="12026" w:type="dxa"/>
        <w:tblInd w:w="-86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4008"/>
        <w:gridCol w:w="4009"/>
        <w:gridCol w:w="4009"/>
      </w:tblGrid>
      <w:tr w:rsidR="00D60F41" w14:paraId="7C0313E0" w14:textId="77777777" w:rsidTr="00270758">
        <w:trPr>
          <w:trHeight w:val="72"/>
        </w:trPr>
        <w:tc>
          <w:tcPr>
            <w:tcW w:w="12026" w:type="dxa"/>
            <w:gridSpan w:val="3"/>
            <w:shd w:val="clear" w:color="auto" w:fill="D9D9D9" w:themeFill="background1" w:themeFillShade="D9"/>
          </w:tcPr>
          <w:p w14:paraId="32C6499E" w14:textId="27DAAEF0" w:rsidR="00D60F41" w:rsidRPr="007539EA" w:rsidRDefault="00D60F41" w:rsidP="00270758">
            <w:pPr>
              <w:tabs>
                <w:tab w:val="left" w:pos="1401"/>
                <w:tab w:val="left" w:pos="2295"/>
              </w:tabs>
              <w:autoSpaceDE w:val="0"/>
              <w:autoSpaceDN w:val="0"/>
              <w:adjustRightInd w:val="0"/>
              <w:rPr>
                <w:rFonts w:ascii="Georgia" w:hAnsi="Georgia" w:cs="Arial"/>
                <w:b/>
                <w:bCs/>
                <w:color w:val="1F497D" w:themeColor="text2"/>
                <w:sz w:val="16"/>
                <w:szCs w:val="16"/>
              </w:rPr>
            </w:pPr>
          </w:p>
        </w:tc>
      </w:tr>
      <w:tr w:rsidR="00D60F41" w:rsidRPr="001A62B5" w14:paraId="53331170" w14:textId="77777777" w:rsidTr="00270758">
        <w:trPr>
          <w:trHeight w:val="3969"/>
        </w:trPr>
        <w:tc>
          <w:tcPr>
            <w:tcW w:w="4008" w:type="dxa"/>
            <w:shd w:val="clear" w:color="auto" w:fill="D9D9D9" w:themeFill="background1" w:themeFillShade="D9"/>
          </w:tcPr>
          <w:p w14:paraId="36D3629E" w14:textId="46567263" w:rsidR="00D60F41" w:rsidRPr="00DB5C22" w:rsidRDefault="00DB5C22" w:rsidP="00C01863">
            <w:pPr>
              <w:tabs>
                <w:tab w:val="left" w:pos="459"/>
              </w:tabs>
              <w:autoSpaceDE w:val="0"/>
              <w:autoSpaceDN w:val="0"/>
              <w:adjustRightInd w:val="0"/>
              <w:ind w:left="459"/>
              <w:rPr>
                <w:rFonts w:ascii="Georgia" w:hAnsi="Georgia" w:cs="Arial"/>
                <w:b/>
                <w:bCs/>
                <w:color w:val="244061" w:themeColor="accent1" w:themeShade="80"/>
                <w:sz w:val="22"/>
                <w:szCs w:val="22"/>
              </w:rPr>
            </w:pPr>
            <w:r w:rsidRPr="00DB5C22">
              <w:rPr>
                <w:rFonts w:ascii="Georgia" w:hAnsi="Georgia" w:cs="Arial"/>
                <w:bCs/>
                <w:color w:val="E42618"/>
                <w:sz w:val="88"/>
                <w:szCs w:val="88"/>
              </w:rPr>
              <w:t>20</w:t>
            </w:r>
            <w:r w:rsidR="00476E5E" w:rsidRPr="00DB5C22">
              <w:rPr>
                <w:rFonts w:ascii="Georgia" w:hAnsi="Georgia" w:cs="Arial"/>
                <w:bCs/>
                <w:color w:val="E42618"/>
                <w:sz w:val="88"/>
                <w:szCs w:val="88"/>
              </w:rPr>
              <w:t>,1</w:t>
            </w:r>
            <w:r w:rsidR="00465C6E" w:rsidRPr="00DB5C22">
              <w:rPr>
                <w:rFonts w:ascii="Georgia" w:hAnsi="Georgia" w:cs="Arial"/>
                <w:bCs/>
                <w:color w:val="E42618"/>
                <w:sz w:val="88"/>
                <w:szCs w:val="88"/>
              </w:rPr>
              <w:t>%</w:t>
            </w:r>
          </w:p>
          <w:p w14:paraId="0ACA2E77" w14:textId="77777777" w:rsidR="003E5318" w:rsidRPr="00DB5C22" w:rsidRDefault="003E5318" w:rsidP="00C01863">
            <w:pPr>
              <w:tabs>
                <w:tab w:val="left" w:pos="459"/>
              </w:tabs>
              <w:autoSpaceDE w:val="0"/>
              <w:autoSpaceDN w:val="0"/>
              <w:adjustRightInd w:val="0"/>
              <w:ind w:left="459"/>
              <w:rPr>
                <w:rFonts w:ascii="Georgia" w:hAnsi="Georgia" w:cs="Arial"/>
                <w:b/>
                <w:bCs/>
                <w:color w:val="244061" w:themeColor="accent1" w:themeShade="80"/>
                <w:sz w:val="22"/>
                <w:szCs w:val="22"/>
              </w:rPr>
            </w:pPr>
          </w:p>
          <w:p w14:paraId="667B1579" w14:textId="3C7B8115" w:rsidR="00D60F41" w:rsidRPr="00DB5C22" w:rsidRDefault="00465C6E" w:rsidP="00270758">
            <w:pPr>
              <w:tabs>
                <w:tab w:val="left" w:pos="459"/>
              </w:tabs>
              <w:autoSpaceDE w:val="0"/>
              <w:autoSpaceDN w:val="0"/>
              <w:adjustRightInd w:val="0"/>
              <w:ind w:left="459"/>
              <w:rPr>
                <w:rFonts w:ascii="Georgia" w:hAnsi="Georgia" w:cs="Arial"/>
                <w:b/>
                <w:bCs/>
                <w:color w:val="E42618"/>
                <w:sz w:val="26"/>
                <w:szCs w:val="26"/>
              </w:rPr>
            </w:pPr>
            <w:r w:rsidRPr="00DB5C22">
              <w:rPr>
                <w:rFonts w:ascii="Georgia" w:hAnsi="Georgia" w:cs="Arial"/>
                <w:b/>
                <w:bCs/>
                <w:color w:val="E42618"/>
                <w:sz w:val="26"/>
                <w:szCs w:val="26"/>
              </w:rPr>
              <w:t>La quota di prodotti alimentari e bevande analcoliche sulla spesa totale</w:t>
            </w:r>
          </w:p>
          <w:p w14:paraId="4E6050A5" w14:textId="77777777" w:rsidR="00353505" w:rsidRPr="00DB5C22" w:rsidRDefault="00353505" w:rsidP="00C01863">
            <w:pPr>
              <w:tabs>
                <w:tab w:val="left" w:pos="459"/>
              </w:tabs>
              <w:autoSpaceDE w:val="0"/>
              <w:autoSpaceDN w:val="0"/>
              <w:adjustRightInd w:val="0"/>
              <w:ind w:left="459"/>
              <w:rPr>
                <w:rFonts w:ascii="Arial Narrow" w:hAnsi="Arial Narrow" w:cs="Arial"/>
                <w:bCs/>
                <w:color w:val="1F497D" w:themeColor="text2"/>
                <w:sz w:val="28"/>
              </w:rPr>
            </w:pPr>
          </w:p>
          <w:p w14:paraId="42B5E791" w14:textId="7F00502E" w:rsidR="00D60F41" w:rsidRPr="004739BB" w:rsidRDefault="003352F2">
            <w:pPr>
              <w:tabs>
                <w:tab w:val="left" w:pos="459"/>
              </w:tabs>
              <w:autoSpaceDE w:val="0"/>
              <w:autoSpaceDN w:val="0"/>
              <w:adjustRightInd w:val="0"/>
              <w:ind w:left="459"/>
              <w:rPr>
                <w:rFonts w:ascii="Arial Narrow" w:hAnsi="Arial Narrow" w:cs="Arial"/>
                <w:bCs/>
                <w:color w:val="1F497D" w:themeColor="text2"/>
              </w:rPr>
            </w:pPr>
            <w:r>
              <w:rPr>
                <w:rFonts w:ascii="Arial Narrow" w:hAnsi="Arial Narrow" w:cs="Arial"/>
                <w:bCs/>
                <w:color w:val="1F497D" w:themeColor="text2"/>
              </w:rPr>
              <w:t xml:space="preserve">Dal </w:t>
            </w:r>
            <w:r w:rsidR="000A1463">
              <w:rPr>
                <w:rFonts w:ascii="Arial Narrow" w:hAnsi="Arial Narrow" w:cs="Arial"/>
                <w:bCs/>
                <w:color w:val="1F497D" w:themeColor="text2"/>
              </w:rPr>
              <w:t>18,1%</w:t>
            </w:r>
            <w:r w:rsidR="00D932CC">
              <w:rPr>
                <w:rFonts w:ascii="Arial Narrow" w:hAnsi="Arial Narrow" w:cs="Arial"/>
                <w:bCs/>
                <w:color w:val="1F497D" w:themeColor="text2"/>
              </w:rPr>
              <w:t xml:space="preserve"> </w:t>
            </w:r>
            <w:r>
              <w:rPr>
                <w:rFonts w:ascii="Arial Narrow" w:hAnsi="Arial Narrow" w:cs="Arial"/>
                <w:bCs/>
                <w:color w:val="1F497D" w:themeColor="text2"/>
              </w:rPr>
              <w:t>del 2019</w:t>
            </w:r>
            <w:r w:rsidR="00D36162">
              <w:rPr>
                <w:rFonts w:ascii="Arial Narrow" w:hAnsi="Arial Narrow" w:cs="Arial"/>
                <w:bCs/>
                <w:color w:val="1F497D" w:themeColor="text2"/>
              </w:rPr>
              <w:t>.</w:t>
            </w:r>
          </w:p>
        </w:tc>
        <w:tc>
          <w:tcPr>
            <w:tcW w:w="4009" w:type="dxa"/>
            <w:shd w:val="clear" w:color="auto" w:fill="D9D9D9" w:themeFill="background1" w:themeFillShade="D9"/>
          </w:tcPr>
          <w:p w14:paraId="57817E2A" w14:textId="1853022D" w:rsidR="00D60F41" w:rsidRPr="006C177A" w:rsidRDefault="00274FD1" w:rsidP="00270758">
            <w:pPr>
              <w:tabs>
                <w:tab w:val="left" w:pos="851"/>
              </w:tabs>
              <w:autoSpaceDE w:val="0"/>
              <w:autoSpaceDN w:val="0"/>
              <w:adjustRightInd w:val="0"/>
              <w:ind w:left="143"/>
              <w:rPr>
                <w:rFonts w:ascii="Georgia" w:hAnsi="Georgia" w:cs="Arial"/>
                <w:bCs/>
                <w:color w:val="1F497D" w:themeColor="text2"/>
                <w:sz w:val="76"/>
                <w:szCs w:val="76"/>
              </w:rPr>
            </w:pPr>
            <w:r>
              <w:rPr>
                <w:rFonts w:ascii="Georgia" w:hAnsi="Georgia" w:cs="Arial"/>
                <w:bCs/>
                <w:color w:val="1F497D" w:themeColor="text2"/>
                <w:sz w:val="76"/>
                <w:szCs w:val="76"/>
              </w:rPr>
              <w:t>-38,9%</w:t>
            </w:r>
          </w:p>
          <w:p w14:paraId="1DD1FEF5" w14:textId="31F53226" w:rsidR="00D60F41" w:rsidRPr="006C177A" w:rsidRDefault="00D60F41" w:rsidP="00EA7C58">
            <w:pPr>
              <w:tabs>
                <w:tab w:val="left" w:pos="459"/>
              </w:tabs>
              <w:autoSpaceDE w:val="0"/>
              <w:autoSpaceDN w:val="0"/>
              <w:adjustRightInd w:val="0"/>
              <w:ind w:left="459" w:hanging="316"/>
              <w:rPr>
                <w:rFonts w:ascii="Georgia" w:hAnsi="Georgia" w:cs="Arial"/>
                <w:b/>
                <w:bCs/>
                <w:color w:val="244061" w:themeColor="accent1" w:themeShade="80"/>
                <w:sz w:val="18"/>
                <w:szCs w:val="22"/>
              </w:rPr>
            </w:pPr>
          </w:p>
          <w:p w14:paraId="2691BB44" w14:textId="77777777" w:rsidR="00375648" w:rsidRPr="006C177A" w:rsidRDefault="00375648" w:rsidP="00EA7C58">
            <w:pPr>
              <w:tabs>
                <w:tab w:val="left" w:pos="459"/>
              </w:tabs>
              <w:autoSpaceDE w:val="0"/>
              <w:autoSpaceDN w:val="0"/>
              <w:adjustRightInd w:val="0"/>
              <w:ind w:left="459" w:hanging="316"/>
              <w:rPr>
                <w:rFonts w:ascii="Georgia" w:hAnsi="Georgia" w:cs="Arial"/>
                <w:b/>
                <w:bCs/>
                <w:color w:val="244061" w:themeColor="accent1" w:themeShade="80"/>
                <w:sz w:val="18"/>
                <w:szCs w:val="22"/>
              </w:rPr>
            </w:pPr>
          </w:p>
          <w:p w14:paraId="1C2EAD7C" w14:textId="0A14D8AC" w:rsidR="00D60F41" w:rsidRPr="006C177A" w:rsidRDefault="00274FD1" w:rsidP="00270758">
            <w:pPr>
              <w:tabs>
                <w:tab w:val="left" w:pos="851"/>
              </w:tabs>
              <w:autoSpaceDE w:val="0"/>
              <w:autoSpaceDN w:val="0"/>
              <w:adjustRightInd w:val="0"/>
              <w:ind w:left="143"/>
              <w:rPr>
                <w:rFonts w:ascii="Georgia" w:hAnsi="Georgia" w:cs="Arial"/>
                <w:b/>
                <w:bCs/>
                <w:color w:val="1F497D" w:themeColor="text2"/>
                <w:sz w:val="26"/>
                <w:szCs w:val="26"/>
              </w:rPr>
            </w:pPr>
            <w:r>
              <w:rPr>
                <w:rFonts w:ascii="Georgia" w:hAnsi="Georgia" w:cs="Arial"/>
                <w:b/>
                <w:bCs/>
                <w:color w:val="1F497D" w:themeColor="text2"/>
                <w:sz w:val="26"/>
                <w:szCs w:val="26"/>
              </w:rPr>
              <w:t>La flessione</w:t>
            </w:r>
            <w:r w:rsidR="009E0CDE">
              <w:rPr>
                <w:rFonts w:ascii="Georgia" w:hAnsi="Georgia" w:cs="Arial"/>
                <w:b/>
                <w:bCs/>
                <w:color w:val="1F497D" w:themeColor="text2"/>
                <w:sz w:val="26"/>
                <w:szCs w:val="26"/>
              </w:rPr>
              <w:t xml:space="preserve"> </w:t>
            </w:r>
            <w:r>
              <w:rPr>
                <w:rFonts w:ascii="Georgia" w:hAnsi="Georgia" w:cs="Arial"/>
                <w:b/>
                <w:bCs/>
                <w:color w:val="1F497D" w:themeColor="text2"/>
                <w:sz w:val="26"/>
                <w:szCs w:val="26"/>
              </w:rPr>
              <w:t>dell</w:t>
            </w:r>
            <w:r w:rsidR="00AA6C5E">
              <w:rPr>
                <w:rFonts w:ascii="Georgia" w:hAnsi="Georgia" w:cs="Arial"/>
                <w:b/>
                <w:bCs/>
                <w:color w:val="1F497D" w:themeColor="text2"/>
                <w:sz w:val="26"/>
                <w:szCs w:val="26"/>
              </w:rPr>
              <w:t>a</w:t>
            </w:r>
            <w:r>
              <w:rPr>
                <w:rFonts w:ascii="Georgia" w:hAnsi="Georgia" w:cs="Arial"/>
                <w:b/>
                <w:bCs/>
                <w:color w:val="1F497D" w:themeColor="text2"/>
                <w:sz w:val="26"/>
                <w:szCs w:val="26"/>
              </w:rPr>
              <w:t xml:space="preserve"> spesa media per </w:t>
            </w:r>
            <w:r w:rsidRPr="00274FD1">
              <w:rPr>
                <w:rFonts w:ascii="Georgia" w:hAnsi="Georgia" w:cs="Arial"/>
                <w:b/>
                <w:bCs/>
                <w:color w:val="1F497D" w:themeColor="text2"/>
                <w:sz w:val="26"/>
                <w:szCs w:val="26"/>
              </w:rPr>
              <w:t>Servizi ricettivi e di ristorazione</w:t>
            </w:r>
          </w:p>
          <w:p w14:paraId="3732395B" w14:textId="5B870486" w:rsidR="00D60F41" w:rsidRPr="00E932E8" w:rsidRDefault="00D60F41" w:rsidP="00DC5C9C">
            <w:pPr>
              <w:tabs>
                <w:tab w:val="left" w:pos="851"/>
              </w:tabs>
              <w:autoSpaceDE w:val="0"/>
              <w:autoSpaceDN w:val="0"/>
              <w:adjustRightInd w:val="0"/>
              <w:ind w:left="143"/>
              <w:rPr>
                <w:rFonts w:ascii="Arial Narrow" w:hAnsi="Arial Narrow" w:cs="Arial"/>
                <w:bCs/>
                <w:color w:val="1F497D" w:themeColor="text2"/>
                <w:highlight w:val="yellow"/>
              </w:rPr>
            </w:pPr>
          </w:p>
        </w:tc>
        <w:tc>
          <w:tcPr>
            <w:tcW w:w="4009" w:type="dxa"/>
            <w:shd w:val="clear" w:color="auto" w:fill="D9D9D9" w:themeFill="background1" w:themeFillShade="D9"/>
            <w:tcMar>
              <w:left w:w="284" w:type="dxa"/>
              <w:right w:w="284" w:type="dxa"/>
            </w:tcMar>
          </w:tcPr>
          <w:p w14:paraId="1CCF369F" w14:textId="3D8D3473" w:rsidR="00D60F41" w:rsidRPr="00C419B7" w:rsidRDefault="00C419B7" w:rsidP="00270758">
            <w:pPr>
              <w:tabs>
                <w:tab w:val="left" w:pos="851"/>
                <w:tab w:val="left" w:pos="2575"/>
              </w:tabs>
              <w:autoSpaceDE w:val="0"/>
              <w:autoSpaceDN w:val="0"/>
              <w:adjustRightInd w:val="0"/>
              <w:ind w:right="570"/>
              <w:rPr>
                <w:rFonts w:ascii="Georgia" w:hAnsi="Georgia" w:cs="Arial"/>
                <w:bCs/>
                <w:color w:val="E42618"/>
                <w:sz w:val="88"/>
                <w:szCs w:val="88"/>
              </w:rPr>
            </w:pPr>
            <w:r w:rsidRPr="00C419B7">
              <w:rPr>
                <w:rFonts w:ascii="Georgia" w:hAnsi="Georgia" w:cs="Arial"/>
                <w:bCs/>
                <w:color w:val="E42618"/>
                <w:sz w:val="88"/>
                <w:szCs w:val="88"/>
              </w:rPr>
              <w:t>4</w:t>
            </w:r>
            <w:r w:rsidR="00D60F41" w:rsidRPr="00C419B7">
              <w:rPr>
                <w:rFonts w:ascii="Georgia" w:hAnsi="Georgia" w:cs="Arial"/>
                <w:bCs/>
                <w:color w:val="E42618"/>
                <w:sz w:val="88"/>
                <w:szCs w:val="88"/>
              </w:rPr>
              <w:t>,</w:t>
            </w:r>
            <w:r w:rsidRPr="00C419B7">
              <w:rPr>
                <w:rFonts w:ascii="Georgia" w:hAnsi="Georgia" w:cs="Arial"/>
                <w:bCs/>
                <w:color w:val="E42618"/>
                <w:sz w:val="88"/>
                <w:szCs w:val="88"/>
              </w:rPr>
              <w:t>8</w:t>
            </w:r>
          </w:p>
          <w:p w14:paraId="546F2E14" w14:textId="77777777" w:rsidR="00D60F41" w:rsidRPr="00C419B7" w:rsidRDefault="00D60F41" w:rsidP="00270758">
            <w:pPr>
              <w:tabs>
                <w:tab w:val="left" w:pos="0"/>
                <w:tab w:val="left" w:pos="2575"/>
              </w:tabs>
              <w:autoSpaceDE w:val="0"/>
              <w:autoSpaceDN w:val="0"/>
              <w:adjustRightInd w:val="0"/>
              <w:ind w:left="5" w:right="570" w:firstLine="709"/>
              <w:rPr>
                <w:rFonts w:ascii="Georgia" w:hAnsi="Georgia" w:cs="Arial"/>
                <w:b/>
                <w:bCs/>
                <w:color w:val="244061" w:themeColor="accent1" w:themeShade="80"/>
                <w:sz w:val="22"/>
                <w:szCs w:val="22"/>
              </w:rPr>
            </w:pPr>
          </w:p>
          <w:p w14:paraId="48479792" w14:textId="6C7EF5B7" w:rsidR="00D60F41" w:rsidRPr="00C419B7" w:rsidRDefault="00D60F41" w:rsidP="00270758">
            <w:pPr>
              <w:tabs>
                <w:tab w:val="left" w:pos="851"/>
                <w:tab w:val="left" w:pos="2575"/>
              </w:tabs>
              <w:autoSpaceDE w:val="0"/>
              <w:autoSpaceDN w:val="0"/>
              <w:adjustRightInd w:val="0"/>
              <w:ind w:right="570"/>
              <w:rPr>
                <w:rFonts w:ascii="Georgia" w:hAnsi="Georgia" w:cs="Arial"/>
                <w:b/>
                <w:bCs/>
                <w:color w:val="E42618"/>
                <w:sz w:val="26"/>
                <w:szCs w:val="26"/>
              </w:rPr>
            </w:pPr>
            <w:r w:rsidRPr="00C419B7">
              <w:rPr>
                <w:rFonts w:ascii="Georgia" w:hAnsi="Georgia" w:cs="Arial"/>
                <w:b/>
                <w:bCs/>
                <w:color w:val="E42618"/>
                <w:sz w:val="26"/>
                <w:szCs w:val="26"/>
              </w:rPr>
              <w:t xml:space="preserve">Il rapporto </w:t>
            </w:r>
            <w:r w:rsidR="00B95A73" w:rsidRPr="00C419B7">
              <w:rPr>
                <w:rFonts w:ascii="Georgia" w:hAnsi="Georgia" w:cs="Arial"/>
                <w:b/>
                <w:bCs/>
                <w:color w:val="E42618"/>
                <w:sz w:val="26"/>
                <w:szCs w:val="26"/>
              </w:rPr>
              <w:t>di</w:t>
            </w:r>
            <w:r w:rsidRPr="00C419B7">
              <w:rPr>
                <w:rFonts w:ascii="Georgia" w:hAnsi="Georgia" w:cs="Arial"/>
                <w:b/>
                <w:bCs/>
                <w:color w:val="E42618"/>
                <w:sz w:val="26"/>
                <w:szCs w:val="26"/>
              </w:rPr>
              <w:t xml:space="preserve"> spesa </w:t>
            </w:r>
            <w:r w:rsidR="00B95A73" w:rsidRPr="00C419B7">
              <w:rPr>
                <w:rFonts w:ascii="Georgia" w:hAnsi="Georgia" w:cs="Arial"/>
                <w:b/>
                <w:bCs/>
                <w:color w:val="E42618"/>
                <w:sz w:val="26"/>
                <w:szCs w:val="26"/>
              </w:rPr>
              <w:t xml:space="preserve">tra </w:t>
            </w:r>
            <w:r w:rsidRPr="00C419B7">
              <w:rPr>
                <w:rFonts w:ascii="Georgia" w:hAnsi="Georgia" w:cs="Arial"/>
                <w:b/>
                <w:bCs/>
                <w:color w:val="E42618"/>
                <w:sz w:val="26"/>
                <w:szCs w:val="26"/>
              </w:rPr>
              <w:t xml:space="preserve">famiglie più abbienti e </w:t>
            </w:r>
            <w:r w:rsidR="00DF042B" w:rsidRPr="00C419B7">
              <w:rPr>
                <w:rFonts w:ascii="Georgia" w:hAnsi="Georgia" w:cs="Arial"/>
                <w:b/>
                <w:bCs/>
                <w:color w:val="E42618"/>
                <w:sz w:val="26"/>
                <w:szCs w:val="26"/>
              </w:rPr>
              <w:t>meno abbienti</w:t>
            </w:r>
          </w:p>
          <w:p w14:paraId="7D8EA1DD" w14:textId="77777777" w:rsidR="00D60F41" w:rsidRPr="00C419B7" w:rsidRDefault="00D60F41" w:rsidP="008A488F">
            <w:pPr>
              <w:tabs>
                <w:tab w:val="left" w:pos="0"/>
              </w:tabs>
              <w:autoSpaceDE w:val="0"/>
              <w:autoSpaceDN w:val="0"/>
              <w:adjustRightInd w:val="0"/>
              <w:rPr>
                <w:rFonts w:ascii="Georgia" w:hAnsi="Georgia" w:cs="Arial"/>
                <w:b/>
                <w:bCs/>
                <w:color w:val="E42618"/>
                <w:sz w:val="28"/>
                <w:szCs w:val="28"/>
              </w:rPr>
            </w:pPr>
          </w:p>
          <w:p w14:paraId="5350860A" w14:textId="5CF71B62" w:rsidR="00D60F41" w:rsidRPr="00E932E8" w:rsidRDefault="00AC416F" w:rsidP="003352F2">
            <w:pPr>
              <w:pStyle w:val="Default"/>
              <w:tabs>
                <w:tab w:val="left" w:pos="567"/>
              </w:tabs>
              <w:spacing w:after="80"/>
              <w:ind w:right="228"/>
              <w:rPr>
                <w:rFonts w:ascii="Arial Narrow" w:hAnsi="Arial Narrow" w:cs="Arial"/>
                <w:bCs/>
                <w:color w:val="1F497D" w:themeColor="text2"/>
                <w:highlight w:val="yellow"/>
              </w:rPr>
            </w:pPr>
            <w:r>
              <w:rPr>
                <w:rFonts w:ascii="Arial Narrow" w:hAnsi="Arial Narrow" w:cs="Arial"/>
                <w:bCs/>
                <w:color w:val="1F497D" w:themeColor="text2"/>
              </w:rPr>
              <w:t>Per il terzo anno consecutivo</w:t>
            </w:r>
            <w:r w:rsidRPr="00C419B7">
              <w:rPr>
                <w:rFonts w:ascii="Arial Narrow" w:hAnsi="Arial Narrow" w:cs="Arial"/>
                <w:bCs/>
                <w:color w:val="1F497D" w:themeColor="text2"/>
              </w:rPr>
              <w:t xml:space="preserve"> la disuguaglianza</w:t>
            </w:r>
            <w:r>
              <w:rPr>
                <w:rFonts w:ascii="Arial Narrow" w:hAnsi="Arial Narrow" w:cs="Arial"/>
                <w:bCs/>
                <w:color w:val="1F497D" w:themeColor="text2"/>
              </w:rPr>
              <w:t xml:space="preserve"> si attenua, seppur di poco, torna</w:t>
            </w:r>
            <w:r w:rsidR="003352F2">
              <w:rPr>
                <w:rFonts w:ascii="Arial Narrow" w:hAnsi="Arial Narrow" w:cs="Arial"/>
                <w:bCs/>
                <w:color w:val="1F497D" w:themeColor="text2"/>
              </w:rPr>
              <w:t>ndo</w:t>
            </w:r>
            <w:r>
              <w:rPr>
                <w:rFonts w:ascii="Arial Narrow" w:hAnsi="Arial Narrow" w:cs="Arial"/>
                <w:bCs/>
                <w:color w:val="1F497D" w:themeColor="text2"/>
              </w:rPr>
              <w:t xml:space="preserve"> ai livelli del 2013</w:t>
            </w:r>
            <w:r w:rsidR="00D60F41" w:rsidRPr="00C419B7">
              <w:rPr>
                <w:rFonts w:ascii="Arial Narrow" w:hAnsi="Arial Narrow" w:cs="Arial"/>
                <w:bCs/>
                <w:color w:val="1F497D" w:themeColor="text2"/>
              </w:rPr>
              <w:t>.</w:t>
            </w:r>
          </w:p>
        </w:tc>
      </w:tr>
    </w:tbl>
    <w:p w14:paraId="0A7B6484" w14:textId="1A8D800B"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14EA77D4" w14:textId="77777777" w:rsidR="00C65721" w:rsidRPr="0058002A" w:rsidRDefault="00C65721" w:rsidP="000467F2">
      <w:pPr>
        <w:rPr>
          <w:rFonts w:ascii="Arial" w:hAnsi="Arial" w:cs="Arial"/>
          <w:iCs/>
          <w:noProof/>
          <w:color w:val="000000"/>
          <w:sz w:val="20"/>
          <w:szCs w:val="20"/>
        </w:rPr>
        <w:sectPr w:rsidR="00C65721" w:rsidRPr="0058002A" w:rsidSect="00B12669">
          <w:footerReference w:type="even" r:id="rId8"/>
          <w:footerReference w:type="default" r:id="rId9"/>
          <w:headerReference w:type="first" r:id="rId10"/>
          <w:footerReference w:type="first" r:id="rId11"/>
          <w:type w:val="continuous"/>
          <w:pgSz w:w="11906" w:h="16838"/>
          <w:pgMar w:top="787" w:right="851" w:bottom="678" w:left="851" w:header="0" w:footer="0" w:gutter="0"/>
          <w:pgNumType w:start="1"/>
          <w:cols w:space="708"/>
          <w:titlePg/>
          <w:docGrid w:linePitch="360"/>
        </w:sectPr>
      </w:pPr>
    </w:p>
    <w:p w14:paraId="214795CE" w14:textId="77777777" w:rsidR="00B20078" w:rsidRPr="00AB0DCF" w:rsidRDefault="00B20078" w:rsidP="00F64C4D">
      <w:pPr>
        <w:autoSpaceDE w:val="0"/>
        <w:autoSpaceDN w:val="0"/>
        <w:adjustRightInd w:val="0"/>
        <w:spacing w:after="120"/>
        <w:jc w:val="both"/>
        <w:rPr>
          <w:rFonts w:ascii="Arial" w:hAnsi="Arial" w:cs="Arial"/>
          <w:color w:val="1F497D"/>
          <w:sz w:val="22"/>
          <w:szCs w:val="26"/>
        </w:rPr>
      </w:pPr>
    </w:p>
    <w:p w14:paraId="3F9F2581" w14:textId="77777777" w:rsidR="002D6999" w:rsidRPr="00AB0DCF" w:rsidRDefault="002D6999" w:rsidP="00F64C4D">
      <w:pPr>
        <w:autoSpaceDE w:val="0"/>
        <w:autoSpaceDN w:val="0"/>
        <w:adjustRightInd w:val="0"/>
        <w:spacing w:after="120"/>
        <w:jc w:val="both"/>
        <w:rPr>
          <w:rFonts w:ascii="Arial" w:hAnsi="Arial" w:cs="Arial"/>
          <w:color w:val="1F497D"/>
          <w:sz w:val="22"/>
          <w:szCs w:val="26"/>
        </w:rPr>
      </w:pPr>
    </w:p>
    <w:p w14:paraId="26CF6993" w14:textId="20B6C824" w:rsidR="00F64C4D" w:rsidRPr="005B5418" w:rsidRDefault="002D6999" w:rsidP="00F64C4D">
      <w:pPr>
        <w:autoSpaceDE w:val="0"/>
        <w:autoSpaceDN w:val="0"/>
        <w:adjustRightInd w:val="0"/>
        <w:spacing w:after="120"/>
        <w:jc w:val="both"/>
        <w:rPr>
          <w:rFonts w:ascii="Arial" w:hAnsi="Arial" w:cs="Arial"/>
          <w:b/>
          <w:color w:val="1F497D"/>
          <w:sz w:val="26"/>
          <w:szCs w:val="26"/>
        </w:rPr>
      </w:pPr>
      <w:r>
        <w:rPr>
          <w:rFonts w:ascii="Arial" w:hAnsi="Arial" w:cs="Arial"/>
          <w:b/>
          <w:color w:val="1F497D"/>
          <w:sz w:val="26"/>
          <w:szCs w:val="26"/>
        </w:rPr>
        <w:t>S</w:t>
      </w:r>
      <w:r w:rsidRPr="005B5418">
        <w:rPr>
          <w:rFonts w:ascii="Arial" w:hAnsi="Arial" w:cs="Arial"/>
          <w:b/>
          <w:color w:val="1F497D"/>
          <w:sz w:val="26"/>
          <w:szCs w:val="26"/>
        </w:rPr>
        <w:t xml:space="preserve">pesa per consumi </w:t>
      </w:r>
      <w:r>
        <w:rPr>
          <w:rFonts w:ascii="Arial" w:hAnsi="Arial" w:cs="Arial"/>
          <w:b/>
          <w:color w:val="1F497D"/>
          <w:sz w:val="26"/>
          <w:szCs w:val="26"/>
        </w:rPr>
        <w:t>diminuisce nel 2020 e</w:t>
      </w:r>
      <w:r w:rsidR="00F64C4D" w:rsidRPr="005B5418">
        <w:rPr>
          <w:rFonts w:ascii="Arial" w:hAnsi="Arial" w:cs="Arial"/>
          <w:b/>
          <w:color w:val="1F497D"/>
          <w:sz w:val="26"/>
          <w:szCs w:val="26"/>
        </w:rPr>
        <w:t xml:space="preserve"> </w:t>
      </w:r>
      <w:r w:rsidRPr="00FC6143">
        <w:rPr>
          <w:rFonts w:ascii="Arial" w:hAnsi="Arial" w:cs="Arial"/>
          <w:b/>
          <w:color w:val="1F497D"/>
          <w:sz w:val="26"/>
          <w:szCs w:val="26"/>
        </w:rPr>
        <w:t>in calo</w:t>
      </w:r>
      <w:r w:rsidRPr="005B5418" w:rsidDel="002D6999">
        <w:rPr>
          <w:rFonts w:ascii="Arial" w:hAnsi="Arial" w:cs="Arial"/>
          <w:b/>
          <w:color w:val="1F497D"/>
          <w:sz w:val="26"/>
          <w:szCs w:val="26"/>
        </w:rPr>
        <w:t xml:space="preserve"> </w:t>
      </w:r>
      <w:r>
        <w:rPr>
          <w:rFonts w:ascii="Arial" w:hAnsi="Arial" w:cs="Arial"/>
          <w:b/>
          <w:color w:val="1F497D"/>
          <w:sz w:val="26"/>
          <w:szCs w:val="26"/>
        </w:rPr>
        <w:t xml:space="preserve">anche </w:t>
      </w:r>
      <w:r w:rsidR="00E54B3D">
        <w:rPr>
          <w:rFonts w:ascii="Arial" w:hAnsi="Arial" w:cs="Arial"/>
          <w:b/>
          <w:color w:val="1F497D"/>
          <w:sz w:val="26"/>
          <w:szCs w:val="26"/>
        </w:rPr>
        <w:t xml:space="preserve">inizio </w:t>
      </w:r>
      <w:r w:rsidR="00F64C4D" w:rsidRPr="00FC6143">
        <w:rPr>
          <w:rFonts w:ascii="Arial" w:hAnsi="Arial" w:cs="Arial"/>
          <w:b/>
          <w:color w:val="1F497D"/>
          <w:sz w:val="26"/>
          <w:szCs w:val="26"/>
        </w:rPr>
        <w:t>202</w:t>
      </w:r>
      <w:r w:rsidR="00F64C4D">
        <w:rPr>
          <w:rFonts w:ascii="Arial" w:hAnsi="Arial" w:cs="Arial"/>
          <w:b/>
          <w:color w:val="1F497D"/>
          <w:sz w:val="26"/>
          <w:szCs w:val="26"/>
        </w:rPr>
        <w:t>1</w:t>
      </w:r>
      <w:r w:rsidR="00F64C4D" w:rsidRPr="00FC6143">
        <w:rPr>
          <w:rFonts w:ascii="Arial" w:hAnsi="Arial" w:cs="Arial"/>
          <w:b/>
          <w:color w:val="1F497D"/>
          <w:sz w:val="26"/>
          <w:szCs w:val="26"/>
        </w:rPr>
        <w:t xml:space="preserve"> </w:t>
      </w:r>
    </w:p>
    <w:p w14:paraId="10F9F311" w14:textId="545ECAF9" w:rsidR="00F64C4D" w:rsidRDefault="00F64C4D" w:rsidP="00F64C4D">
      <w:pPr>
        <w:autoSpaceDE w:val="0"/>
        <w:autoSpaceDN w:val="0"/>
        <w:adjustRightInd w:val="0"/>
        <w:spacing w:after="120"/>
        <w:jc w:val="both"/>
        <w:rPr>
          <w:rFonts w:ascii="Arial" w:hAnsi="Arial" w:cs="Arial"/>
          <w:sz w:val="22"/>
          <w:szCs w:val="22"/>
        </w:rPr>
      </w:pPr>
      <w:r>
        <w:rPr>
          <w:rFonts w:ascii="Arial" w:hAnsi="Arial" w:cs="Arial"/>
          <w:sz w:val="22"/>
          <w:szCs w:val="22"/>
        </w:rPr>
        <w:t>Nel 2020</w:t>
      </w:r>
      <w:r w:rsidRPr="005B5418">
        <w:rPr>
          <w:rFonts w:ascii="Arial" w:hAnsi="Arial" w:cs="Arial"/>
          <w:sz w:val="22"/>
          <w:szCs w:val="22"/>
        </w:rPr>
        <w:t>, la stima della spesa media mensile delle famiglie residenti in Italia è di 2.</w:t>
      </w:r>
      <w:r>
        <w:rPr>
          <w:rFonts w:ascii="Arial" w:hAnsi="Arial" w:cs="Arial"/>
          <w:sz w:val="22"/>
          <w:szCs w:val="22"/>
        </w:rPr>
        <w:t>328</w:t>
      </w:r>
      <w:r w:rsidRPr="005B5418">
        <w:rPr>
          <w:rFonts w:ascii="Arial" w:hAnsi="Arial" w:cs="Arial"/>
          <w:sz w:val="22"/>
          <w:szCs w:val="22"/>
        </w:rPr>
        <w:t xml:space="preserve"> e</w:t>
      </w:r>
      <w:r>
        <w:rPr>
          <w:rFonts w:ascii="Arial" w:hAnsi="Arial" w:cs="Arial"/>
          <w:sz w:val="22"/>
          <w:szCs w:val="22"/>
        </w:rPr>
        <w:t xml:space="preserve">uro mensili in valori correnti </w:t>
      </w:r>
      <w:r w:rsidR="00913C33">
        <w:rPr>
          <w:rFonts w:ascii="Arial" w:hAnsi="Arial" w:cs="Arial"/>
          <w:sz w:val="22"/>
          <w:szCs w:val="22"/>
        </w:rPr>
        <w:t>(</w:t>
      </w:r>
      <w:r>
        <w:rPr>
          <w:rFonts w:ascii="Arial" w:hAnsi="Arial" w:cs="Arial"/>
          <w:sz w:val="22"/>
          <w:szCs w:val="22"/>
        </w:rPr>
        <w:t xml:space="preserve">-9,0% </w:t>
      </w:r>
      <w:r w:rsidRPr="005B5418">
        <w:rPr>
          <w:rFonts w:ascii="Arial" w:hAnsi="Arial" w:cs="Arial"/>
          <w:sz w:val="22"/>
          <w:szCs w:val="22"/>
        </w:rPr>
        <w:t>rispetto al 201</w:t>
      </w:r>
      <w:r>
        <w:rPr>
          <w:rFonts w:ascii="Arial" w:hAnsi="Arial" w:cs="Arial"/>
          <w:sz w:val="22"/>
          <w:szCs w:val="22"/>
        </w:rPr>
        <w:t>9</w:t>
      </w:r>
      <w:r w:rsidR="00913C33">
        <w:rPr>
          <w:rFonts w:ascii="Arial" w:hAnsi="Arial" w:cs="Arial"/>
          <w:sz w:val="22"/>
          <w:szCs w:val="22"/>
        </w:rPr>
        <w:t>)</w:t>
      </w:r>
      <w:r w:rsidRPr="005B5418">
        <w:rPr>
          <w:rFonts w:ascii="Arial" w:hAnsi="Arial" w:cs="Arial"/>
          <w:sz w:val="22"/>
          <w:szCs w:val="22"/>
        </w:rPr>
        <w:t xml:space="preserve">. </w:t>
      </w:r>
      <w:r w:rsidR="00913C33" w:rsidRPr="005B5418">
        <w:rPr>
          <w:rFonts w:ascii="Arial" w:hAnsi="Arial" w:cs="Arial"/>
          <w:sz w:val="22"/>
          <w:szCs w:val="22"/>
        </w:rPr>
        <w:t>Considera</w:t>
      </w:r>
      <w:r w:rsidR="00913C33">
        <w:rPr>
          <w:rFonts w:ascii="Arial" w:hAnsi="Arial" w:cs="Arial"/>
          <w:sz w:val="22"/>
          <w:szCs w:val="22"/>
        </w:rPr>
        <w:t>ta</w:t>
      </w:r>
      <w:r w:rsidR="00913C33" w:rsidRPr="005B5418">
        <w:rPr>
          <w:rFonts w:ascii="Arial" w:hAnsi="Arial" w:cs="Arial"/>
          <w:sz w:val="22"/>
          <w:szCs w:val="22"/>
        </w:rPr>
        <w:t xml:space="preserve"> </w:t>
      </w:r>
      <w:r w:rsidRPr="005B5418">
        <w:rPr>
          <w:rFonts w:ascii="Arial" w:hAnsi="Arial" w:cs="Arial"/>
          <w:sz w:val="22"/>
          <w:szCs w:val="22"/>
        </w:rPr>
        <w:t>la dinamica inflazionistica (</w:t>
      </w:r>
      <w:r>
        <w:rPr>
          <w:rFonts w:ascii="Arial" w:hAnsi="Arial" w:cs="Arial"/>
          <w:sz w:val="22"/>
          <w:szCs w:val="22"/>
        </w:rPr>
        <w:t>-0,2</w:t>
      </w:r>
      <w:r w:rsidRPr="005B5418">
        <w:rPr>
          <w:rFonts w:ascii="Arial" w:hAnsi="Arial" w:cs="Arial"/>
          <w:sz w:val="22"/>
          <w:szCs w:val="22"/>
        </w:rPr>
        <w:t xml:space="preserve">% la variazione dell’indice dei prezzi al consumo per l’intera collettività nazionale, NIC), </w:t>
      </w:r>
      <w:r w:rsidR="00913C33">
        <w:rPr>
          <w:rFonts w:ascii="Arial" w:hAnsi="Arial" w:cs="Arial"/>
          <w:sz w:val="22"/>
          <w:szCs w:val="22"/>
        </w:rPr>
        <w:t xml:space="preserve">il calo in termini reali è </w:t>
      </w:r>
      <w:r w:rsidR="00B15300">
        <w:rPr>
          <w:rFonts w:ascii="Arial" w:hAnsi="Arial" w:cs="Arial"/>
          <w:sz w:val="22"/>
          <w:szCs w:val="22"/>
        </w:rPr>
        <w:t>appena</w:t>
      </w:r>
      <w:r w:rsidR="00913C33">
        <w:rPr>
          <w:rFonts w:ascii="Arial" w:hAnsi="Arial" w:cs="Arial"/>
          <w:sz w:val="22"/>
          <w:szCs w:val="22"/>
        </w:rPr>
        <w:t xml:space="preserve"> meno ampio (-</w:t>
      </w:r>
      <w:r>
        <w:rPr>
          <w:rFonts w:ascii="Arial" w:hAnsi="Arial" w:cs="Arial"/>
          <w:sz w:val="22"/>
          <w:szCs w:val="22"/>
        </w:rPr>
        <w:t>8</w:t>
      </w:r>
      <w:r w:rsidRPr="005B5418">
        <w:rPr>
          <w:rFonts w:ascii="Arial" w:hAnsi="Arial" w:cs="Arial"/>
          <w:sz w:val="22"/>
          <w:szCs w:val="22"/>
        </w:rPr>
        <w:t>,</w:t>
      </w:r>
      <w:r>
        <w:rPr>
          <w:rFonts w:ascii="Arial" w:hAnsi="Arial" w:cs="Arial"/>
          <w:sz w:val="22"/>
          <w:szCs w:val="22"/>
        </w:rPr>
        <w:t>8</w:t>
      </w:r>
      <w:r w:rsidRPr="005B5418">
        <w:rPr>
          <w:rFonts w:ascii="Arial" w:hAnsi="Arial" w:cs="Arial"/>
          <w:sz w:val="22"/>
          <w:szCs w:val="22"/>
        </w:rPr>
        <w:t>%</w:t>
      </w:r>
      <w:r w:rsidR="00913C33">
        <w:rPr>
          <w:rFonts w:ascii="Arial" w:hAnsi="Arial" w:cs="Arial"/>
          <w:sz w:val="22"/>
          <w:szCs w:val="22"/>
        </w:rPr>
        <w:t>)</w:t>
      </w:r>
      <w:r w:rsidRPr="005B5418">
        <w:rPr>
          <w:rFonts w:ascii="Arial" w:hAnsi="Arial" w:cs="Arial"/>
          <w:sz w:val="22"/>
          <w:szCs w:val="22"/>
        </w:rPr>
        <w:t>.</w:t>
      </w:r>
    </w:p>
    <w:p w14:paraId="4F9CF498" w14:textId="024A520D" w:rsidR="009B07B1" w:rsidRPr="005B5418" w:rsidRDefault="00DF7F31" w:rsidP="00F64C4D">
      <w:pPr>
        <w:autoSpaceDE w:val="0"/>
        <w:autoSpaceDN w:val="0"/>
        <w:adjustRightInd w:val="0"/>
        <w:spacing w:after="120"/>
        <w:jc w:val="both"/>
        <w:rPr>
          <w:rFonts w:ascii="Arial" w:hAnsi="Arial" w:cs="Arial"/>
          <w:sz w:val="22"/>
          <w:szCs w:val="22"/>
        </w:rPr>
      </w:pPr>
      <w:r>
        <w:rPr>
          <w:rFonts w:ascii="Arial" w:hAnsi="Arial" w:cs="Arial"/>
          <w:sz w:val="22"/>
          <w:szCs w:val="22"/>
        </w:rPr>
        <w:t>È</w:t>
      </w:r>
      <w:r w:rsidR="00E54B3D">
        <w:rPr>
          <w:rFonts w:ascii="Arial" w:hAnsi="Arial" w:cs="Arial"/>
          <w:sz w:val="22"/>
          <w:szCs w:val="22"/>
        </w:rPr>
        <w:t xml:space="preserve"> l</w:t>
      </w:r>
      <w:r w:rsidR="006C67DA">
        <w:rPr>
          <w:rFonts w:ascii="Arial" w:hAnsi="Arial" w:cs="Arial"/>
          <w:sz w:val="22"/>
          <w:szCs w:val="22"/>
        </w:rPr>
        <w:t xml:space="preserve">a contrazione </w:t>
      </w:r>
      <w:r w:rsidR="009B07B1" w:rsidRPr="009B07B1">
        <w:rPr>
          <w:rFonts w:ascii="Arial" w:hAnsi="Arial" w:cs="Arial"/>
          <w:sz w:val="22"/>
          <w:szCs w:val="22"/>
        </w:rPr>
        <w:t>più accentuat</w:t>
      </w:r>
      <w:r w:rsidR="006C67DA">
        <w:rPr>
          <w:rFonts w:ascii="Arial" w:hAnsi="Arial" w:cs="Arial"/>
          <w:sz w:val="22"/>
          <w:szCs w:val="22"/>
        </w:rPr>
        <w:t>a</w:t>
      </w:r>
      <w:r w:rsidR="009B07B1" w:rsidRPr="009B07B1">
        <w:rPr>
          <w:rFonts w:ascii="Arial" w:hAnsi="Arial" w:cs="Arial"/>
          <w:sz w:val="22"/>
          <w:szCs w:val="22"/>
        </w:rPr>
        <w:t xml:space="preserve"> dal 1997 (anno di inizio della serie storica), che riporta il dato medio di spesa corrente al livello del 2000. </w:t>
      </w:r>
      <w:r w:rsidR="00B15300">
        <w:rPr>
          <w:rFonts w:ascii="Arial" w:hAnsi="Arial" w:cs="Arial"/>
          <w:sz w:val="22"/>
          <w:szCs w:val="22"/>
        </w:rPr>
        <w:t>N</w:t>
      </w:r>
      <w:r w:rsidR="009B07B1" w:rsidRPr="009B07B1">
        <w:rPr>
          <w:rFonts w:ascii="Arial" w:hAnsi="Arial" w:cs="Arial"/>
          <w:sz w:val="22"/>
          <w:szCs w:val="22"/>
        </w:rPr>
        <w:t>e</w:t>
      </w:r>
      <w:r w:rsidR="00913C33">
        <w:rPr>
          <w:rFonts w:ascii="Arial" w:hAnsi="Arial" w:cs="Arial"/>
          <w:sz w:val="22"/>
          <w:szCs w:val="22"/>
        </w:rPr>
        <w:t xml:space="preserve">l </w:t>
      </w:r>
      <w:r w:rsidR="009B07B1" w:rsidRPr="009B07B1">
        <w:rPr>
          <w:rFonts w:ascii="Arial" w:hAnsi="Arial" w:cs="Arial"/>
          <w:sz w:val="22"/>
          <w:szCs w:val="22"/>
        </w:rPr>
        <w:t xml:space="preserve">biennio 2012-2013, </w:t>
      </w:r>
      <w:r w:rsidR="00913C33">
        <w:rPr>
          <w:rFonts w:ascii="Arial" w:hAnsi="Arial" w:cs="Arial"/>
          <w:sz w:val="22"/>
          <w:szCs w:val="22"/>
        </w:rPr>
        <w:t>quando si registrò la flessione più ampia nel periodo considerato</w:t>
      </w:r>
      <w:r w:rsidR="009B07B1" w:rsidRPr="009B07B1">
        <w:rPr>
          <w:rFonts w:ascii="Arial" w:hAnsi="Arial" w:cs="Arial"/>
          <w:sz w:val="22"/>
          <w:szCs w:val="22"/>
        </w:rPr>
        <w:t>, il calo rispetto al 2011 era stato complessivamente del 6,4%.</w:t>
      </w:r>
    </w:p>
    <w:p w14:paraId="5FEE8441" w14:textId="68CB67E6" w:rsidR="00F64C4D" w:rsidRDefault="00F64C4D" w:rsidP="00F64C4D">
      <w:pPr>
        <w:autoSpaceDE w:val="0"/>
        <w:autoSpaceDN w:val="0"/>
        <w:adjustRightInd w:val="0"/>
        <w:spacing w:before="140" w:after="120"/>
        <w:jc w:val="both"/>
        <w:rPr>
          <w:rFonts w:ascii="Arial" w:hAnsi="Arial" w:cs="Arial"/>
          <w:sz w:val="22"/>
          <w:szCs w:val="22"/>
        </w:rPr>
      </w:pPr>
      <w:r w:rsidRPr="005B5418">
        <w:rPr>
          <w:rFonts w:ascii="Arial" w:hAnsi="Arial" w:cs="Arial"/>
          <w:sz w:val="22"/>
          <w:szCs w:val="22"/>
        </w:rPr>
        <w:t xml:space="preserve">Poiché la distribuzione dei consumi è asimmetrica e </w:t>
      </w:r>
      <w:r>
        <w:rPr>
          <w:rFonts w:ascii="Arial" w:hAnsi="Arial" w:cs="Arial"/>
          <w:sz w:val="22"/>
          <w:szCs w:val="22"/>
        </w:rPr>
        <w:t>più</w:t>
      </w:r>
      <w:r w:rsidRPr="005B5418">
        <w:rPr>
          <w:rFonts w:ascii="Arial" w:hAnsi="Arial" w:cs="Arial"/>
          <w:sz w:val="22"/>
          <w:szCs w:val="22"/>
        </w:rPr>
        <w:t xml:space="preserve"> concentrata nei livelli medio-bassi, la maggioranza delle famiglie </w:t>
      </w:r>
      <w:r w:rsidR="00D1173A">
        <w:rPr>
          <w:rFonts w:ascii="Arial" w:hAnsi="Arial" w:cs="Arial"/>
          <w:sz w:val="22"/>
          <w:szCs w:val="22"/>
        </w:rPr>
        <w:t>spende</w:t>
      </w:r>
      <w:r w:rsidRPr="005B5418">
        <w:rPr>
          <w:rFonts w:ascii="Arial" w:hAnsi="Arial" w:cs="Arial"/>
          <w:sz w:val="22"/>
          <w:szCs w:val="22"/>
        </w:rPr>
        <w:t xml:space="preserve"> un importo inferiore al valore medio. Se si osserva il </w:t>
      </w:r>
      <w:r w:rsidRPr="005F52FC">
        <w:rPr>
          <w:rFonts w:ascii="Arial" w:hAnsi="Arial" w:cs="Arial"/>
          <w:sz w:val="22"/>
          <w:szCs w:val="22"/>
        </w:rPr>
        <w:t>valore mediano</w:t>
      </w:r>
      <w:r>
        <w:rPr>
          <w:rFonts w:ascii="Arial" w:hAnsi="Arial" w:cs="Arial"/>
          <w:sz w:val="22"/>
          <w:szCs w:val="22"/>
        </w:rPr>
        <w:t xml:space="preserve"> (</w:t>
      </w:r>
      <w:r w:rsidRPr="005F52FC">
        <w:rPr>
          <w:rFonts w:ascii="Arial" w:hAnsi="Arial" w:cs="Arial"/>
          <w:sz w:val="22"/>
          <w:szCs w:val="22"/>
        </w:rPr>
        <w:t>il livello di spesa per consumi che divide il numero di famiglie in due parti</w:t>
      </w:r>
      <w:r w:rsidRPr="005B5418">
        <w:rPr>
          <w:rFonts w:ascii="Arial" w:hAnsi="Arial" w:cs="Arial"/>
          <w:sz w:val="22"/>
          <w:szCs w:val="22"/>
        </w:rPr>
        <w:t xml:space="preserve"> uguali</w:t>
      </w:r>
      <w:r>
        <w:rPr>
          <w:rFonts w:ascii="Arial" w:hAnsi="Arial" w:cs="Arial"/>
          <w:sz w:val="22"/>
          <w:szCs w:val="22"/>
        </w:rPr>
        <w:t>)</w:t>
      </w:r>
      <w:r w:rsidRPr="005B5418">
        <w:rPr>
          <w:rFonts w:ascii="Arial" w:hAnsi="Arial" w:cs="Arial"/>
          <w:sz w:val="22"/>
          <w:szCs w:val="22"/>
        </w:rPr>
        <w:t xml:space="preserve">, il 50% delle famiglie </w:t>
      </w:r>
      <w:r w:rsidRPr="00E146AA">
        <w:rPr>
          <w:rFonts w:ascii="Arial" w:hAnsi="Arial" w:cs="Arial"/>
          <w:sz w:val="22"/>
          <w:szCs w:val="22"/>
        </w:rPr>
        <w:t xml:space="preserve">residenti in Italia </w:t>
      </w:r>
      <w:r w:rsidR="003352F2">
        <w:rPr>
          <w:rFonts w:ascii="Arial" w:hAnsi="Arial" w:cs="Arial"/>
          <w:sz w:val="22"/>
          <w:szCs w:val="22"/>
        </w:rPr>
        <w:t>ha speso</w:t>
      </w:r>
      <w:r w:rsidR="003352F2" w:rsidRPr="00E146AA">
        <w:rPr>
          <w:rFonts w:ascii="Arial" w:hAnsi="Arial" w:cs="Arial"/>
          <w:sz w:val="22"/>
          <w:szCs w:val="22"/>
        </w:rPr>
        <w:t xml:space="preserve"> </w:t>
      </w:r>
      <w:r w:rsidRPr="00E146AA">
        <w:rPr>
          <w:rFonts w:ascii="Arial" w:hAnsi="Arial" w:cs="Arial"/>
          <w:sz w:val="22"/>
          <w:szCs w:val="22"/>
        </w:rPr>
        <w:t>nel 2020 una cifra non superiore a 1.962 euro</w:t>
      </w:r>
      <w:r w:rsidR="00D1173A">
        <w:rPr>
          <w:rFonts w:ascii="Arial" w:hAnsi="Arial" w:cs="Arial"/>
          <w:sz w:val="22"/>
          <w:szCs w:val="22"/>
        </w:rPr>
        <w:t xml:space="preserve"> (</w:t>
      </w:r>
      <w:r w:rsidRPr="00E146AA">
        <w:rPr>
          <w:rFonts w:ascii="Arial" w:hAnsi="Arial" w:cs="Arial"/>
          <w:sz w:val="22"/>
          <w:szCs w:val="22"/>
        </w:rPr>
        <w:t xml:space="preserve">2.159 euro </w:t>
      </w:r>
      <w:r w:rsidR="00D1173A">
        <w:rPr>
          <w:rFonts w:ascii="Arial" w:hAnsi="Arial" w:cs="Arial"/>
          <w:sz w:val="22"/>
          <w:szCs w:val="22"/>
        </w:rPr>
        <w:t>n</w:t>
      </w:r>
      <w:r w:rsidR="00D1173A" w:rsidRPr="00E146AA">
        <w:rPr>
          <w:rFonts w:ascii="Arial" w:hAnsi="Arial" w:cs="Arial"/>
          <w:sz w:val="22"/>
          <w:szCs w:val="22"/>
        </w:rPr>
        <w:t xml:space="preserve">el </w:t>
      </w:r>
      <w:r w:rsidRPr="00E146AA">
        <w:rPr>
          <w:rFonts w:ascii="Arial" w:hAnsi="Arial" w:cs="Arial"/>
          <w:sz w:val="22"/>
          <w:szCs w:val="22"/>
        </w:rPr>
        <w:t>2019</w:t>
      </w:r>
      <w:r w:rsidR="00D1173A">
        <w:rPr>
          <w:rFonts w:ascii="Arial" w:hAnsi="Arial" w:cs="Arial"/>
          <w:sz w:val="22"/>
          <w:szCs w:val="22"/>
        </w:rPr>
        <w:t>)</w:t>
      </w:r>
      <w:r w:rsidRPr="00E146AA">
        <w:rPr>
          <w:rFonts w:ascii="Arial" w:hAnsi="Arial" w:cs="Arial"/>
          <w:sz w:val="22"/>
          <w:szCs w:val="22"/>
        </w:rPr>
        <w:t>.</w:t>
      </w:r>
    </w:p>
    <w:p w14:paraId="155CCB95" w14:textId="6B224842" w:rsidR="009B07B1" w:rsidRPr="00E146AA" w:rsidRDefault="009B07B1" w:rsidP="00F64C4D">
      <w:pPr>
        <w:autoSpaceDE w:val="0"/>
        <w:autoSpaceDN w:val="0"/>
        <w:adjustRightInd w:val="0"/>
        <w:spacing w:before="140" w:after="120"/>
        <w:jc w:val="both"/>
        <w:rPr>
          <w:rFonts w:ascii="Arial" w:hAnsi="Arial" w:cs="Arial"/>
          <w:sz w:val="22"/>
          <w:szCs w:val="22"/>
        </w:rPr>
      </w:pPr>
      <w:r w:rsidRPr="008B682A">
        <w:rPr>
          <w:rFonts w:ascii="Arial" w:hAnsi="Arial" w:cs="Arial"/>
          <w:sz w:val="22"/>
          <w:szCs w:val="22"/>
        </w:rPr>
        <w:t xml:space="preserve">Coerentemente con le linee guida internazionali e con i Report </w:t>
      </w:r>
      <w:r w:rsidR="00E54B3D">
        <w:rPr>
          <w:rFonts w:ascii="Arial" w:hAnsi="Arial" w:cs="Arial"/>
          <w:sz w:val="22"/>
          <w:szCs w:val="22"/>
        </w:rPr>
        <w:t xml:space="preserve">Istat </w:t>
      </w:r>
      <w:r w:rsidRPr="008B682A">
        <w:rPr>
          <w:rFonts w:ascii="Arial" w:hAnsi="Arial" w:cs="Arial"/>
          <w:sz w:val="22"/>
          <w:szCs w:val="22"/>
        </w:rPr>
        <w:t>precedenti, nella spesa per l’abitazione è compreso l’importo degli affitti figurativi (</w:t>
      </w:r>
      <w:r>
        <w:rPr>
          <w:rFonts w:ascii="Arial" w:hAnsi="Arial" w:cs="Arial"/>
          <w:sz w:val="22"/>
          <w:szCs w:val="22"/>
        </w:rPr>
        <w:t xml:space="preserve">cfr. </w:t>
      </w:r>
      <w:r w:rsidRPr="008B682A">
        <w:rPr>
          <w:rFonts w:ascii="Arial" w:hAnsi="Arial" w:cs="Arial"/>
          <w:sz w:val="22"/>
          <w:szCs w:val="22"/>
        </w:rPr>
        <w:t xml:space="preserve">Glossario), cioè </w:t>
      </w:r>
      <w:r w:rsidR="00E54B3D">
        <w:rPr>
          <w:rFonts w:ascii="Arial" w:hAnsi="Arial" w:cs="Arial"/>
          <w:sz w:val="22"/>
          <w:szCs w:val="22"/>
        </w:rPr>
        <w:t xml:space="preserve">quanto </w:t>
      </w:r>
      <w:r w:rsidRPr="008B682A">
        <w:rPr>
          <w:rFonts w:ascii="Arial" w:hAnsi="Arial" w:cs="Arial"/>
          <w:sz w:val="22"/>
          <w:szCs w:val="22"/>
        </w:rPr>
        <w:t xml:space="preserve">le famiglie dovrebbero sostenere per prendere in affitto un'abitazione con caratteristiche identiche a quella in cui vivono e di cui sono proprietarie, usufruttuarie o che hanno in uso gratuito. </w:t>
      </w:r>
      <w:r w:rsidR="00D1173A">
        <w:rPr>
          <w:rFonts w:ascii="Arial" w:hAnsi="Arial" w:cs="Arial"/>
          <w:sz w:val="22"/>
          <w:szCs w:val="22"/>
        </w:rPr>
        <w:t>A</w:t>
      </w:r>
      <w:r w:rsidRPr="008B682A">
        <w:rPr>
          <w:rFonts w:ascii="Arial" w:hAnsi="Arial" w:cs="Arial"/>
          <w:sz w:val="22"/>
          <w:szCs w:val="22"/>
        </w:rPr>
        <w:t>l netto di tale posta, nel 20</w:t>
      </w:r>
      <w:r>
        <w:rPr>
          <w:rFonts w:ascii="Arial" w:hAnsi="Arial" w:cs="Arial"/>
          <w:sz w:val="22"/>
          <w:szCs w:val="22"/>
        </w:rPr>
        <w:t xml:space="preserve">20 </w:t>
      </w:r>
      <w:r w:rsidRPr="008B682A">
        <w:rPr>
          <w:rFonts w:ascii="Arial" w:hAnsi="Arial" w:cs="Arial"/>
          <w:sz w:val="22"/>
          <w:szCs w:val="22"/>
        </w:rPr>
        <w:t>la spesa media familiare in termini correnti (1.</w:t>
      </w:r>
      <w:r>
        <w:rPr>
          <w:rFonts w:ascii="Arial" w:hAnsi="Arial" w:cs="Arial"/>
          <w:sz w:val="22"/>
          <w:szCs w:val="22"/>
        </w:rPr>
        <w:t>741</w:t>
      </w:r>
      <w:r w:rsidRPr="008B682A">
        <w:rPr>
          <w:rFonts w:ascii="Arial" w:hAnsi="Arial" w:cs="Arial"/>
          <w:sz w:val="22"/>
          <w:szCs w:val="22"/>
        </w:rPr>
        <w:t xml:space="preserve"> euro) </w:t>
      </w:r>
      <w:r>
        <w:rPr>
          <w:rFonts w:ascii="Arial" w:hAnsi="Arial" w:cs="Arial"/>
          <w:sz w:val="22"/>
          <w:szCs w:val="22"/>
        </w:rPr>
        <w:t>si contrae</w:t>
      </w:r>
      <w:r w:rsidRPr="00143748">
        <w:rPr>
          <w:rFonts w:ascii="Arial" w:hAnsi="Arial" w:cs="Arial"/>
          <w:sz w:val="22"/>
          <w:szCs w:val="22"/>
        </w:rPr>
        <w:t xml:space="preserve"> </w:t>
      </w:r>
      <w:r w:rsidR="00D1173A">
        <w:rPr>
          <w:rFonts w:ascii="Arial" w:hAnsi="Arial" w:cs="Arial"/>
          <w:sz w:val="22"/>
          <w:szCs w:val="22"/>
        </w:rPr>
        <w:t xml:space="preserve">del 12,2% </w:t>
      </w:r>
      <w:r w:rsidRPr="00143748">
        <w:rPr>
          <w:rFonts w:ascii="Arial" w:hAnsi="Arial" w:cs="Arial"/>
          <w:sz w:val="22"/>
          <w:szCs w:val="22"/>
        </w:rPr>
        <w:t>rispetto al 201</w:t>
      </w:r>
      <w:r>
        <w:rPr>
          <w:rFonts w:ascii="Arial" w:hAnsi="Arial" w:cs="Arial"/>
          <w:sz w:val="22"/>
          <w:szCs w:val="22"/>
        </w:rPr>
        <w:t>9</w:t>
      </w:r>
      <w:r w:rsidRPr="008B682A">
        <w:rPr>
          <w:rFonts w:ascii="Arial" w:hAnsi="Arial" w:cs="Arial"/>
          <w:sz w:val="22"/>
          <w:szCs w:val="22"/>
        </w:rPr>
        <w:t>.</w:t>
      </w:r>
    </w:p>
    <w:p w14:paraId="680C28EC" w14:textId="1EF3A1CB" w:rsidR="00865110" w:rsidRDefault="005B5F73" w:rsidP="006C67DA">
      <w:pPr>
        <w:autoSpaceDE w:val="0"/>
        <w:autoSpaceDN w:val="0"/>
        <w:adjustRightInd w:val="0"/>
        <w:spacing w:before="140" w:after="120"/>
        <w:jc w:val="both"/>
        <w:rPr>
          <w:rFonts w:ascii="Arial" w:hAnsi="Arial" w:cs="Arial"/>
          <w:sz w:val="22"/>
          <w:szCs w:val="22"/>
        </w:rPr>
      </w:pPr>
      <w:r>
        <w:rPr>
          <w:rFonts w:ascii="Arial" w:hAnsi="Arial" w:cs="Arial"/>
          <w:sz w:val="22"/>
          <w:szCs w:val="22"/>
        </w:rPr>
        <w:t xml:space="preserve">La flessione dei consumi riguarda in misura diversificata </w:t>
      </w:r>
      <w:r w:rsidR="009B07B1" w:rsidRPr="009B07B1">
        <w:rPr>
          <w:rFonts w:ascii="Arial" w:hAnsi="Arial" w:cs="Arial"/>
          <w:sz w:val="22"/>
          <w:szCs w:val="22"/>
        </w:rPr>
        <w:t>i capitoli di spesa</w:t>
      </w:r>
      <w:r w:rsidR="00865110">
        <w:rPr>
          <w:rFonts w:ascii="Arial" w:hAnsi="Arial" w:cs="Arial"/>
          <w:sz w:val="22"/>
          <w:szCs w:val="22"/>
        </w:rPr>
        <w:t>: alcuni non hanno mostrato variazioni, altri hanno registrato diminuzioni molto marcate</w:t>
      </w:r>
      <w:r w:rsidR="003352F2">
        <w:rPr>
          <w:rFonts w:ascii="Arial" w:hAnsi="Arial" w:cs="Arial"/>
          <w:sz w:val="22"/>
          <w:szCs w:val="22"/>
        </w:rPr>
        <w:t>,</w:t>
      </w:r>
      <w:r w:rsidR="00865110">
        <w:rPr>
          <w:rFonts w:ascii="Arial" w:hAnsi="Arial" w:cs="Arial"/>
          <w:sz w:val="22"/>
          <w:szCs w:val="22"/>
        </w:rPr>
        <w:t xml:space="preserve"> risentendo tutti sia delle</w:t>
      </w:r>
      <w:r w:rsidR="009B07B1" w:rsidRPr="009B07B1">
        <w:rPr>
          <w:rFonts w:ascii="Arial" w:hAnsi="Arial" w:cs="Arial"/>
          <w:sz w:val="22"/>
          <w:szCs w:val="22"/>
        </w:rPr>
        <w:t xml:space="preserve"> restrizioni imposte per contrastare la pandemia</w:t>
      </w:r>
      <w:r w:rsidR="00865110">
        <w:rPr>
          <w:rFonts w:ascii="Arial" w:hAnsi="Arial" w:cs="Arial"/>
          <w:sz w:val="22"/>
          <w:szCs w:val="22"/>
        </w:rPr>
        <w:t xml:space="preserve"> sia del </w:t>
      </w:r>
      <w:r w:rsidR="009B07B1" w:rsidRPr="009B07B1">
        <w:rPr>
          <w:rFonts w:ascii="Arial" w:hAnsi="Arial" w:cs="Arial"/>
          <w:sz w:val="22"/>
          <w:szCs w:val="22"/>
        </w:rPr>
        <w:t xml:space="preserve">diverso grado di comprimibilità delle spese stesse. </w:t>
      </w:r>
      <w:r w:rsidR="00865110">
        <w:rPr>
          <w:rFonts w:ascii="Arial" w:hAnsi="Arial" w:cs="Arial"/>
          <w:sz w:val="22"/>
          <w:szCs w:val="22"/>
        </w:rPr>
        <w:t>Si è così determinata una ricomposizione del peso relativo di ogni capitolo sulla spesa complessiva.</w:t>
      </w:r>
    </w:p>
    <w:p w14:paraId="264AA488" w14:textId="3A35A606" w:rsidR="00F275D8" w:rsidRDefault="00865110" w:rsidP="006C67DA">
      <w:pPr>
        <w:autoSpaceDE w:val="0"/>
        <w:autoSpaceDN w:val="0"/>
        <w:adjustRightInd w:val="0"/>
        <w:spacing w:before="140" w:after="120"/>
        <w:jc w:val="both"/>
        <w:rPr>
          <w:rFonts w:ascii="Arial" w:hAnsi="Arial" w:cs="Arial"/>
          <w:sz w:val="22"/>
          <w:szCs w:val="22"/>
        </w:rPr>
      </w:pPr>
      <w:r>
        <w:rPr>
          <w:rFonts w:ascii="Arial" w:hAnsi="Arial" w:cs="Arial"/>
          <w:sz w:val="22"/>
          <w:szCs w:val="22"/>
        </w:rPr>
        <w:t>Nello specifico, r</w:t>
      </w:r>
      <w:r w:rsidR="009B07B1" w:rsidRPr="009B07B1">
        <w:rPr>
          <w:rFonts w:ascii="Arial" w:hAnsi="Arial" w:cs="Arial"/>
          <w:sz w:val="22"/>
          <w:szCs w:val="22"/>
        </w:rPr>
        <w:t>ispetto al 2019, rimangono sostanzialmente invariate la spesa per Alimentari e bevande analcoliche (468 euro al mese) e quella per Abitazione, acqua, elettricità e altri combustibili, manutenzione ordinaria e straordinaria (893 euro mensili</w:t>
      </w:r>
      <w:r w:rsidR="00936E64">
        <w:rPr>
          <w:rFonts w:ascii="Arial" w:hAnsi="Arial" w:cs="Arial"/>
          <w:sz w:val="22"/>
          <w:szCs w:val="22"/>
        </w:rPr>
        <w:t xml:space="preserve">, </w:t>
      </w:r>
      <w:r w:rsidR="00936E64" w:rsidRPr="00215A84">
        <w:rPr>
          <w:rFonts w:ascii="Arial" w:hAnsi="Arial" w:cs="Arial"/>
          <w:sz w:val="22"/>
          <w:szCs w:val="22"/>
        </w:rPr>
        <w:t>di cui 5</w:t>
      </w:r>
      <w:r w:rsidR="00936E64">
        <w:rPr>
          <w:rFonts w:ascii="Arial" w:hAnsi="Arial" w:cs="Arial"/>
          <w:sz w:val="22"/>
          <w:szCs w:val="22"/>
        </w:rPr>
        <w:t>87</w:t>
      </w:r>
      <w:r w:rsidR="00936E64" w:rsidRPr="00215A84">
        <w:rPr>
          <w:rFonts w:ascii="Arial" w:hAnsi="Arial" w:cs="Arial"/>
          <w:sz w:val="22"/>
          <w:szCs w:val="22"/>
        </w:rPr>
        <w:t xml:space="preserve"> euro di affitti figurativi</w:t>
      </w:r>
      <w:r w:rsidR="009B07B1" w:rsidRPr="009B07B1">
        <w:rPr>
          <w:rFonts w:ascii="Arial" w:hAnsi="Arial" w:cs="Arial"/>
          <w:sz w:val="22"/>
          <w:szCs w:val="22"/>
        </w:rPr>
        <w:t xml:space="preserve">). Si tratta, infatti, di spese difficilmente comprimibili, solo marginalmente toccate dalle restrizioni governative e che, anzi, </w:t>
      </w:r>
      <w:r w:rsidR="00B31DE9">
        <w:rPr>
          <w:rFonts w:ascii="Arial" w:hAnsi="Arial" w:cs="Arial"/>
          <w:sz w:val="22"/>
          <w:szCs w:val="22"/>
        </w:rPr>
        <w:t xml:space="preserve">possono essere state favorite </w:t>
      </w:r>
      <w:r w:rsidR="009B07B1" w:rsidRPr="009B07B1">
        <w:rPr>
          <w:rFonts w:ascii="Arial" w:hAnsi="Arial" w:cs="Arial"/>
          <w:sz w:val="22"/>
          <w:szCs w:val="22"/>
        </w:rPr>
        <w:t xml:space="preserve">dalla maggiore permanenza delle famiglie all’interno dell’abitazione. La spesa per tutti gli altri capitoli, che nel 2020 vale complessivamente 967 euro al mese, </w:t>
      </w:r>
      <w:r w:rsidR="00274FD1">
        <w:rPr>
          <w:rFonts w:ascii="Arial" w:hAnsi="Arial" w:cs="Arial"/>
          <w:sz w:val="22"/>
          <w:szCs w:val="22"/>
        </w:rPr>
        <w:t>scende</w:t>
      </w:r>
      <w:r w:rsidR="009B07B1" w:rsidRPr="009B07B1">
        <w:rPr>
          <w:rFonts w:ascii="Arial" w:hAnsi="Arial" w:cs="Arial"/>
          <w:sz w:val="22"/>
          <w:szCs w:val="22"/>
        </w:rPr>
        <w:t xml:space="preserve"> invece del 19,</w:t>
      </w:r>
      <w:r w:rsidR="003C67F4">
        <w:rPr>
          <w:rFonts w:ascii="Arial" w:hAnsi="Arial" w:cs="Arial"/>
          <w:sz w:val="22"/>
          <w:szCs w:val="22"/>
        </w:rPr>
        <w:t>3</w:t>
      </w:r>
      <w:r w:rsidR="009B07B1" w:rsidRPr="009B07B1">
        <w:rPr>
          <w:rFonts w:ascii="Arial" w:hAnsi="Arial" w:cs="Arial"/>
          <w:sz w:val="22"/>
          <w:szCs w:val="22"/>
        </w:rPr>
        <w:t xml:space="preserve">% rispetto ai 1.200 euro del 2019. </w:t>
      </w:r>
    </w:p>
    <w:p w14:paraId="3251547F" w14:textId="1FA1DBF3" w:rsidR="00F64C4D" w:rsidRDefault="009B07B1" w:rsidP="006C67DA">
      <w:pPr>
        <w:autoSpaceDE w:val="0"/>
        <w:autoSpaceDN w:val="0"/>
        <w:adjustRightInd w:val="0"/>
        <w:spacing w:before="140" w:after="120"/>
        <w:jc w:val="both"/>
        <w:rPr>
          <w:rFonts w:ascii="Arial" w:hAnsi="Arial" w:cs="Arial"/>
          <w:sz w:val="22"/>
          <w:szCs w:val="22"/>
        </w:rPr>
      </w:pPr>
      <w:r w:rsidRPr="009B07B1">
        <w:rPr>
          <w:rFonts w:ascii="Arial" w:hAnsi="Arial" w:cs="Arial"/>
          <w:sz w:val="22"/>
          <w:szCs w:val="22"/>
        </w:rPr>
        <w:t xml:space="preserve">Le diminuzioni più drastiche </w:t>
      </w:r>
      <w:r w:rsidR="006C67DA">
        <w:rPr>
          <w:rFonts w:ascii="Arial" w:hAnsi="Arial" w:cs="Arial"/>
          <w:sz w:val="22"/>
          <w:szCs w:val="22"/>
        </w:rPr>
        <w:t>riguardano</w:t>
      </w:r>
      <w:r w:rsidRPr="009B07B1">
        <w:rPr>
          <w:rFonts w:ascii="Arial" w:hAnsi="Arial" w:cs="Arial"/>
          <w:sz w:val="22"/>
          <w:szCs w:val="22"/>
        </w:rPr>
        <w:t xml:space="preserve"> i capitoli di spesa sui quali le misure di contenimento hanno agito maggiormente e in maniera diretta, </w:t>
      </w:r>
      <w:r w:rsidR="006C67DA">
        <w:rPr>
          <w:rFonts w:ascii="Arial" w:hAnsi="Arial" w:cs="Arial"/>
          <w:sz w:val="22"/>
          <w:szCs w:val="22"/>
        </w:rPr>
        <w:t xml:space="preserve">cioè </w:t>
      </w:r>
      <w:r w:rsidRPr="009B07B1">
        <w:rPr>
          <w:rFonts w:ascii="Arial" w:hAnsi="Arial" w:cs="Arial"/>
          <w:sz w:val="22"/>
          <w:szCs w:val="22"/>
        </w:rPr>
        <w:t>Servizi ricettivi e di ristorazione (-38,9%</w:t>
      </w:r>
      <w:r w:rsidR="00936E64">
        <w:rPr>
          <w:rFonts w:ascii="Arial" w:hAnsi="Arial" w:cs="Arial"/>
          <w:sz w:val="22"/>
          <w:szCs w:val="22"/>
        </w:rPr>
        <w:t xml:space="preserve">, 79 euro mensili </w:t>
      </w:r>
      <w:r w:rsidR="006C67DA">
        <w:rPr>
          <w:rFonts w:ascii="Arial" w:hAnsi="Arial" w:cs="Arial"/>
          <w:sz w:val="22"/>
          <w:szCs w:val="22"/>
        </w:rPr>
        <w:t>in</w:t>
      </w:r>
      <w:r w:rsidR="00936E64">
        <w:rPr>
          <w:rFonts w:ascii="Arial" w:hAnsi="Arial" w:cs="Arial"/>
          <w:sz w:val="22"/>
          <w:szCs w:val="22"/>
        </w:rPr>
        <w:t xml:space="preserve"> media nel 2020</w:t>
      </w:r>
      <w:r w:rsidRPr="009B07B1">
        <w:rPr>
          <w:rFonts w:ascii="Arial" w:hAnsi="Arial" w:cs="Arial"/>
          <w:sz w:val="22"/>
          <w:szCs w:val="22"/>
        </w:rPr>
        <w:t>) e Ricreazione, spettacoli e cultura (-26,4%</w:t>
      </w:r>
      <w:r w:rsidR="00936E64">
        <w:rPr>
          <w:rFonts w:ascii="Arial" w:hAnsi="Arial" w:cs="Arial"/>
          <w:sz w:val="22"/>
          <w:szCs w:val="22"/>
        </w:rPr>
        <w:t>, 93 euro mensili</w:t>
      </w:r>
      <w:r w:rsidRPr="009B07B1">
        <w:rPr>
          <w:rFonts w:ascii="Arial" w:hAnsi="Arial" w:cs="Arial"/>
          <w:sz w:val="22"/>
          <w:szCs w:val="22"/>
        </w:rPr>
        <w:t>), seguiti da capitoli fortemente penalizzati dalla limitazione alla circolazione e alla socialità,</w:t>
      </w:r>
      <w:r w:rsidR="006C67DA">
        <w:rPr>
          <w:rFonts w:ascii="Arial" w:hAnsi="Arial" w:cs="Arial"/>
          <w:sz w:val="22"/>
          <w:szCs w:val="22"/>
        </w:rPr>
        <w:t xml:space="preserve"> </w:t>
      </w:r>
      <w:r w:rsidR="003352F2">
        <w:rPr>
          <w:rFonts w:ascii="Arial" w:hAnsi="Arial" w:cs="Arial"/>
          <w:sz w:val="22"/>
          <w:szCs w:val="22"/>
        </w:rPr>
        <w:t xml:space="preserve">come </w:t>
      </w:r>
      <w:r w:rsidRPr="009B07B1">
        <w:rPr>
          <w:rFonts w:ascii="Arial" w:hAnsi="Arial" w:cs="Arial"/>
          <w:sz w:val="22"/>
          <w:szCs w:val="22"/>
        </w:rPr>
        <w:t xml:space="preserve">Trasporti </w:t>
      </w:r>
      <w:r w:rsidR="00F942DB">
        <w:rPr>
          <w:rFonts w:ascii="Arial" w:hAnsi="Arial" w:cs="Arial"/>
          <w:sz w:val="22"/>
          <w:szCs w:val="22"/>
        </w:rPr>
        <w:br/>
      </w:r>
      <w:r w:rsidRPr="009B07B1">
        <w:rPr>
          <w:rFonts w:ascii="Arial" w:hAnsi="Arial" w:cs="Arial"/>
          <w:sz w:val="22"/>
          <w:szCs w:val="22"/>
        </w:rPr>
        <w:t>(-24,6%</w:t>
      </w:r>
      <w:r w:rsidR="00936E64">
        <w:rPr>
          <w:rFonts w:ascii="Arial" w:hAnsi="Arial" w:cs="Arial"/>
          <w:sz w:val="22"/>
          <w:szCs w:val="22"/>
        </w:rPr>
        <w:t>, 217 euro mensili nel 2020</w:t>
      </w:r>
      <w:r w:rsidRPr="009B07B1">
        <w:rPr>
          <w:rFonts w:ascii="Arial" w:hAnsi="Arial" w:cs="Arial"/>
          <w:sz w:val="22"/>
          <w:szCs w:val="22"/>
        </w:rPr>
        <w:t>) e Abbigliamento e calzature (-23,3%</w:t>
      </w:r>
      <w:r w:rsidR="00936E64">
        <w:rPr>
          <w:rFonts w:ascii="Arial" w:hAnsi="Arial" w:cs="Arial"/>
          <w:sz w:val="22"/>
          <w:szCs w:val="22"/>
        </w:rPr>
        <w:t>, 88 euro mensili</w:t>
      </w:r>
      <w:r w:rsidRPr="009B07B1">
        <w:rPr>
          <w:rFonts w:ascii="Arial" w:hAnsi="Arial" w:cs="Arial"/>
          <w:sz w:val="22"/>
          <w:szCs w:val="22"/>
        </w:rPr>
        <w:t xml:space="preserve">). </w:t>
      </w:r>
    </w:p>
    <w:p w14:paraId="0542176A" w14:textId="3656C29A" w:rsidR="0089775B" w:rsidRPr="008A1BB9" w:rsidRDefault="0089775B" w:rsidP="00FF1EDB">
      <w:pPr>
        <w:pStyle w:val="Default"/>
        <w:spacing w:after="120"/>
        <w:jc w:val="both"/>
        <w:rPr>
          <w:rFonts w:ascii="Arial" w:hAnsi="Arial" w:cs="Arial"/>
          <w:sz w:val="72"/>
          <w:szCs w:val="96"/>
        </w:rPr>
      </w:pPr>
    </w:p>
    <w:p w14:paraId="2DB4668D" w14:textId="1203D754" w:rsidR="002D3B4E" w:rsidRDefault="002F7256" w:rsidP="00FF1EDB">
      <w:pPr>
        <w:spacing w:before="120"/>
        <w:rPr>
          <w:rFonts w:ascii="Arial Narrow" w:hAnsi="Arial Narrow" w:cs="Arial"/>
          <w:color w:val="1F497D" w:themeColor="text2"/>
          <w:sz w:val="22"/>
          <w:szCs w:val="22"/>
        </w:rPr>
      </w:pPr>
      <w:r w:rsidRPr="00FF1EDB">
        <w:rPr>
          <w:rFonts w:ascii="Arial Black" w:hAnsi="Arial Black" w:cs="Arial"/>
          <w:iCs/>
          <w:noProof/>
          <w:color w:val="1F497D" w:themeColor="text2"/>
          <w:sz w:val="22"/>
          <w:szCs w:val="22"/>
        </w:rPr>
        <w:t>SPESE DELLE FAMIGLIE</w:t>
      </w:r>
      <w:r>
        <w:rPr>
          <w:rFonts w:ascii="Arial Black" w:hAnsi="Arial Black" w:cs="Arial"/>
          <w:iCs/>
          <w:noProof/>
          <w:color w:val="1F497D" w:themeColor="text2"/>
          <w:sz w:val="22"/>
          <w:szCs w:val="22"/>
        </w:rPr>
        <w:t>:</w:t>
      </w:r>
      <w:r w:rsidRPr="00132A04">
        <w:rPr>
          <w:rFonts w:ascii="Arial Black" w:hAnsi="Arial Black" w:cs="Arial"/>
          <w:iCs/>
          <w:noProof/>
          <w:color w:val="1F497D" w:themeColor="text2"/>
          <w:sz w:val="22"/>
          <w:szCs w:val="22"/>
        </w:rPr>
        <w:t xml:space="preserve"> </w:t>
      </w:r>
      <w:r w:rsidR="00D871CB" w:rsidRPr="00132A04">
        <w:rPr>
          <w:rFonts w:ascii="Arial Black" w:hAnsi="Arial Black" w:cs="Arial"/>
          <w:iCs/>
          <w:noProof/>
          <w:color w:val="1F497D" w:themeColor="text2"/>
          <w:sz w:val="22"/>
          <w:szCs w:val="22"/>
        </w:rPr>
        <w:t>I NUMERI CHIAVE</w:t>
      </w:r>
      <w:r w:rsidR="00FF1EDB" w:rsidRPr="00616A40">
        <w:rPr>
          <w:rFonts w:ascii="Arial Narrow" w:hAnsi="Arial Narrow" w:cs="Arial"/>
          <w:color w:val="1F497D" w:themeColor="text2"/>
          <w:sz w:val="22"/>
          <w:szCs w:val="22"/>
        </w:rPr>
        <w:t>.</w:t>
      </w:r>
      <w:r w:rsidR="00C20146" w:rsidRPr="00FF1EDB">
        <w:rPr>
          <w:rFonts w:ascii="Arial Narrow" w:hAnsi="Arial Narrow" w:cs="Arial"/>
          <w:color w:val="1F497D" w:themeColor="text2"/>
          <w:sz w:val="22"/>
          <w:szCs w:val="22"/>
        </w:rPr>
        <w:t xml:space="preserve"> </w:t>
      </w:r>
      <w:r w:rsidR="002D3B4E" w:rsidRPr="00E67689">
        <w:rPr>
          <w:rFonts w:ascii="Arial Narrow" w:hAnsi="Arial Narrow" w:cs="Arial"/>
          <w:color w:val="1F497D" w:themeColor="text2"/>
          <w:sz w:val="22"/>
          <w:szCs w:val="22"/>
        </w:rPr>
        <w:t>Anni 201</w:t>
      </w:r>
      <w:r w:rsidR="00D8424D">
        <w:rPr>
          <w:rFonts w:ascii="Arial Narrow" w:hAnsi="Arial Narrow" w:cs="Arial"/>
          <w:color w:val="1F497D" w:themeColor="text2"/>
          <w:sz w:val="22"/>
          <w:szCs w:val="22"/>
        </w:rPr>
        <w:t>9</w:t>
      </w:r>
      <w:r w:rsidR="00AB1DFC" w:rsidRPr="00E67689">
        <w:rPr>
          <w:rFonts w:ascii="Arial Narrow" w:hAnsi="Arial Narrow" w:cs="Arial"/>
          <w:color w:val="1F497D" w:themeColor="text2"/>
          <w:sz w:val="22"/>
          <w:szCs w:val="22"/>
        </w:rPr>
        <w:t>-</w:t>
      </w:r>
      <w:r w:rsidR="00D8424D">
        <w:rPr>
          <w:rFonts w:ascii="Arial Narrow" w:hAnsi="Arial Narrow" w:cs="Arial"/>
          <w:color w:val="1F497D" w:themeColor="text2"/>
          <w:sz w:val="22"/>
          <w:szCs w:val="22"/>
        </w:rPr>
        <w:t>2020</w:t>
      </w:r>
      <w:r w:rsidR="000B3954">
        <w:rPr>
          <w:rFonts w:ascii="Arial Narrow" w:hAnsi="Arial Narrow" w:cs="Arial"/>
          <w:color w:val="1F497D" w:themeColor="text2"/>
          <w:sz w:val="22"/>
          <w:szCs w:val="22"/>
        </w:rPr>
        <w:t>, v</w:t>
      </w:r>
      <w:r w:rsidR="00C20146">
        <w:rPr>
          <w:rFonts w:ascii="Arial Narrow" w:hAnsi="Arial Narrow" w:cs="Arial"/>
          <w:color w:val="1F497D" w:themeColor="text2"/>
          <w:sz w:val="22"/>
          <w:szCs w:val="22"/>
        </w:rPr>
        <w:t>alori in euro</w:t>
      </w:r>
    </w:p>
    <w:p w14:paraId="7CCEF7FA" w14:textId="77777777" w:rsidR="002D3B4E" w:rsidRPr="00045962" w:rsidRDefault="002D3B4E" w:rsidP="002D3B4E">
      <w:pPr>
        <w:spacing w:before="40" w:after="20"/>
        <w:rPr>
          <w:rFonts w:ascii="Arial Narrow" w:hAnsi="Arial Narrow" w:cs="Arial"/>
          <w:color w:val="1F497D" w:themeColor="text2"/>
          <w:sz w:val="14"/>
          <w:szCs w:val="22"/>
        </w:rPr>
      </w:pPr>
    </w:p>
    <w:tbl>
      <w:tblPr>
        <w:tblW w:w="9923" w:type="dxa"/>
        <w:tblInd w:w="15" w:type="dxa"/>
        <w:tblBorders>
          <w:top w:val="single" w:sz="4" w:space="0" w:color="FFFFFF" w:themeColor="background1"/>
          <w:bottom w:val="single" w:sz="4" w:space="0" w:color="FFFFFF" w:themeColor="background1"/>
          <w:insideH w:val="single" w:sz="4" w:space="0" w:color="FFFFFF" w:themeColor="background1"/>
        </w:tblBorders>
        <w:shd w:val="clear" w:color="auto" w:fill="D9D9D9" w:themeFill="background1" w:themeFillShade="D9"/>
        <w:tblLayout w:type="fixed"/>
        <w:tblCellMar>
          <w:left w:w="170" w:type="dxa"/>
          <w:right w:w="170" w:type="dxa"/>
        </w:tblCellMar>
        <w:tblLook w:val="04A0" w:firstRow="1" w:lastRow="0" w:firstColumn="1" w:lastColumn="0" w:noHBand="0" w:noVBand="1"/>
      </w:tblPr>
      <w:tblGrid>
        <w:gridCol w:w="1700"/>
        <w:gridCol w:w="682"/>
        <w:gridCol w:w="684"/>
        <w:gridCol w:w="682"/>
        <w:gridCol w:w="685"/>
        <w:gridCol w:w="685"/>
        <w:gridCol w:w="683"/>
        <w:gridCol w:w="683"/>
        <w:gridCol w:w="683"/>
        <w:gridCol w:w="683"/>
        <w:gridCol w:w="683"/>
        <w:gridCol w:w="675"/>
        <w:gridCol w:w="8"/>
        <w:gridCol w:w="707"/>
      </w:tblGrid>
      <w:tr w:rsidR="002D3B4E" w:rsidRPr="0097314A" w14:paraId="317B8226" w14:textId="77777777" w:rsidTr="00AB1DFC">
        <w:trPr>
          <w:trHeight w:val="122"/>
        </w:trPr>
        <w:tc>
          <w:tcPr>
            <w:tcW w:w="857" w:type="pct"/>
            <w:vMerge w:val="restart"/>
            <w:shd w:val="clear" w:color="auto" w:fill="D9D9D9" w:themeFill="background1" w:themeFillShade="D9"/>
            <w:tcMar>
              <w:top w:w="15" w:type="dxa"/>
              <w:left w:w="15" w:type="dxa"/>
              <w:bottom w:w="0" w:type="dxa"/>
              <w:right w:w="15" w:type="dxa"/>
            </w:tcMar>
            <w:vAlign w:val="center"/>
          </w:tcPr>
          <w:p w14:paraId="0A4D2B5E" w14:textId="77777777" w:rsidR="002D3B4E" w:rsidRPr="0097314A" w:rsidRDefault="002D3B4E">
            <w:pPr>
              <w:spacing w:before="40" w:after="20"/>
              <w:ind w:left="127" w:right="31"/>
              <w:rPr>
                <w:rFonts w:ascii="Arial Narrow" w:hAnsi="Arial Narrow" w:cs="Arial"/>
                <w:b/>
                <w:color w:val="1F497D"/>
                <w:sz w:val="18"/>
                <w:szCs w:val="18"/>
              </w:rPr>
            </w:pPr>
            <w:r w:rsidRPr="0097314A">
              <w:rPr>
                <w:rFonts w:ascii="Arial Narrow" w:hAnsi="Arial Narrow" w:cs="Arial"/>
                <w:b/>
                <w:color w:val="1F497D"/>
                <w:sz w:val="18"/>
                <w:szCs w:val="18"/>
              </w:rPr>
              <w:t>SPESA</w:t>
            </w:r>
          </w:p>
        </w:tc>
        <w:tc>
          <w:tcPr>
            <w:tcW w:w="3443" w:type="pct"/>
            <w:gridSpan w:val="10"/>
            <w:shd w:val="clear" w:color="auto" w:fill="1F497D"/>
            <w:vAlign w:val="center"/>
          </w:tcPr>
          <w:p w14:paraId="4D857AAE" w14:textId="77777777" w:rsidR="002D3B4E" w:rsidRPr="0097314A" w:rsidRDefault="002D3B4E">
            <w:pPr>
              <w:spacing w:before="40" w:after="20"/>
              <w:ind w:right="31"/>
              <w:jc w:val="center"/>
              <w:rPr>
                <w:rFonts w:ascii="Arial Narrow" w:hAnsi="Arial Narrow" w:cs="Arial"/>
                <w:b/>
                <w:color w:val="FFFFFF" w:themeColor="background1"/>
                <w:sz w:val="18"/>
                <w:szCs w:val="18"/>
              </w:rPr>
            </w:pPr>
            <w:r w:rsidRPr="0097314A">
              <w:rPr>
                <w:rFonts w:ascii="Arial Narrow" w:hAnsi="Arial Narrow" w:cs="Arial"/>
                <w:b/>
                <w:color w:val="FFFFFF" w:themeColor="background1"/>
                <w:sz w:val="18"/>
                <w:szCs w:val="18"/>
              </w:rPr>
              <w:t>Ripartizione geografica</w:t>
            </w:r>
          </w:p>
        </w:tc>
        <w:tc>
          <w:tcPr>
            <w:tcW w:w="700" w:type="pct"/>
            <w:gridSpan w:val="3"/>
            <w:vMerge w:val="restart"/>
            <w:shd w:val="clear" w:color="auto" w:fill="1F497D"/>
            <w:vAlign w:val="center"/>
          </w:tcPr>
          <w:p w14:paraId="14C054A2" w14:textId="77777777" w:rsidR="002D3B4E" w:rsidRPr="0097314A" w:rsidRDefault="002D3B4E">
            <w:pPr>
              <w:spacing w:before="40" w:after="20"/>
              <w:ind w:right="31"/>
              <w:jc w:val="center"/>
              <w:rPr>
                <w:rFonts w:ascii="Arial Narrow" w:hAnsi="Arial Narrow" w:cs="Arial"/>
                <w:b/>
                <w:color w:val="FFFFFF" w:themeColor="background1"/>
                <w:sz w:val="18"/>
                <w:szCs w:val="18"/>
              </w:rPr>
            </w:pPr>
            <w:r w:rsidRPr="0097314A">
              <w:rPr>
                <w:rFonts w:ascii="Arial Narrow" w:hAnsi="Arial Narrow" w:cs="Arial"/>
                <w:b/>
                <w:color w:val="FFFFFF" w:themeColor="background1"/>
                <w:sz w:val="18"/>
                <w:szCs w:val="18"/>
              </w:rPr>
              <w:t>Italia</w:t>
            </w:r>
          </w:p>
        </w:tc>
      </w:tr>
      <w:tr w:rsidR="002D3B4E" w:rsidRPr="0097314A" w14:paraId="3101DF05" w14:textId="77777777" w:rsidTr="00AB1DFC">
        <w:trPr>
          <w:trHeight w:val="122"/>
        </w:trPr>
        <w:tc>
          <w:tcPr>
            <w:tcW w:w="857" w:type="pct"/>
            <w:vMerge/>
            <w:shd w:val="clear" w:color="auto" w:fill="D9D9D9" w:themeFill="background1" w:themeFillShade="D9"/>
            <w:tcMar>
              <w:top w:w="15" w:type="dxa"/>
              <w:left w:w="15" w:type="dxa"/>
              <w:bottom w:w="0" w:type="dxa"/>
              <w:right w:w="15" w:type="dxa"/>
            </w:tcMar>
            <w:vAlign w:val="center"/>
          </w:tcPr>
          <w:p w14:paraId="6A3CC797" w14:textId="77777777" w:rsidR="002D3B4E" w:rsidRPr="0097314A" w:rsidRDefault="002D3B4E">
            <w:pPr>
              <w:spacing w:before="40" w:after="20"/>
              <w:ind w:left="127" w:right="31"/>
              <w:rPr>
                <w:rFonts w:ascii="Arial Narrow" w:hAnsi="Arial Narrow" w:cs="Arial"/>
                <w:b/>
                <w:color w:val="1F497D"/>
                <w:sz w:val="18"/>
                <w:szCs w:val="18"/>
              </w:rPr>
            </w:pPr>
          </w:p>
        </w:tc>
        <w:tc>
          <w:tcPr>
            <w:tcW w:w="688" w:type="pct"/>
            <w:gridSpan w:val="2"/>
            <w:shd w:val="clear" w:color="auto" w:fill="1F497D"/>
            <w:vAlign w:val="center"/>
          </w:tcPr>
          <w:p w14:paraId="38C1D940" w14:textId="77777777" w:rsidR="002D3B4E" w:rsidRPr="0097314A" w:rsidRDefault="002D3B4E">
            <w:pPr>
              <w:spacing w:before="40" w:after="20"/>
              <w:jc w:val="center"/>
              <w:rPr>
                <w:rFonts w:ascii="Arial Narrow" w:hAnsi="Arial Narrow" w:cs="Arial"/>
                <w:b/>
                <w:color w:val="FFFFFF" w:themeColor="background1"/>
                <w:sz w:val="18"/>
                <w:szCs w:val="18"/>
              </w:rPr>
            </w:pPr>
            <w:r w:rsidRPr="0097314A">
              <w:rPr>
                <w:rFonts w:ascii="Arial Narrow" w:hAnsi="Arial Narrow" w:cs="Arial"/>
                <w:b/>
                <w:color w:val="FFFFFF" w:themeColor="background1"/>
                <w:sz w:val="18"/>
                <w:szCs w:val="18"/>
              </w:rPr>
              <w:t>Nord-ovest</w:t>
            </w:r>
          </w:p>
        </w:tc>
        <w:tc>
          <w:tcPr>
            <w:tcW w:w="689" w:type="pct"/>
            <w:gridSpan w:val="2"/>
            <w:shd w:val="clear" w:color="auto" w:fill="1F497D"/>
            <w:vAlign w:val="center"/>
          </w:tcPr>
          <w:p w14:paraId="7FB84D94" w14:textId="77777777" w:rsidR="002D3B4E" w:rsidRPr="0097314A" w:rsidRDefault="002D3B4E">
            <w:pPr>
              <w:spacing w:before="40" w:after="20"/>
              <w:ind w:right="31"/>
              <w:jc w:val="center"/>
              <w:rPr>
                <w:rFonts w:ascii="Arial Narrow" w:hAnsi="Arial Narrow" w:cs="Arial"/>
                <w:b/>
                <w:color w:val="FFFFFF" w:themeColor="background1"/>
                <w:sz w:val="18"/>
                <w:szCs w:val="18"/>
              </w:rPr>
            </w:pPr>
            <w:r w:rsidRPr="0097314A">
              <w:rPr>
                <w:rFonts w:ascii="Arial Narrow" w:hAnsi="Arial Narrow" w:cs="Arial"/>
                <w:b/>
                <w:color w:val="FFFFFF" w:themeColor="background1"/>
                <w:sz w:val="18"/>
                <w:szCs w:val="18"/>
              </w:rPr>
              <w:t>Nord-est</w:t>
            </w:r>
          </w:p>
        </w:tc>
        <w:tc>
          <w:tcPr>
            <w:tcW w:w="689" w:type="pct"/>
            <w:gridSpan w:val="2"/>
            <w:shd w:val="clear" w:color="auto" w:fill="1F497D"/>
            <w:vAlign w:val="center"/>
          </w:tcPr>
          <w:p w14:paraId="5C852518" w14:textId="77777777" w:rsidR="002D3B4E" w:rsidRPr="0097314A" w:rsidRDefault="002D3B4E">
            <w:pPr>
              <w:spacing w:before="40" w:after="20"/>
              <w:ind w:right="31"/>
              <w:jc w:val="center"/>
              <w:rPr>
                <w:rFonts w:ascii="Arial Narrow" w:hAnsi="Arial Narrow" w:cs="Arial"/>
                <w:b/>
                <w:color w:val="FFFFFF" w:themeColor="background1"/>
                <w:sz w:val="18"/>
                <w:szCs w:val="18"/>
              </w:rPr>
            </w:pPr>
            <w:r w:rsidRPr="0097314A">
              <w:rPr>
                <w:rFonts w:ascii="Arial Narrow" w:hAnsi="Arial Narrow" w:cs="Arial"/>
                <w:b/>
                <w:color w:val="FFFFFF" w:themeColor="background1"/>
                <w:sz w:val="18"/>
                <w:szCs w:val="18"/>
              </w:rPr>
              <w:t>Centro</w:t>
            </w:r>
          </w:p>
        </w:tc>
        <w:tc>
          <w:tcPr>
            <w:tcW w:w="688" w:type="pct"/>
            <w:gridSpan w:val="2"/>
            <w:shd w:val="clear" w:color="auto" w:fill="1F497D"/>
            <w:vAlign w:val="center"/>
          </w:tcPr>
          <w:p w14:paraId="7AECECFF" w14:textId="77777777" w:rsidR="002D3B4E" w:rsidRPr="0097314A" w:rsidRDefault="002D3B4E">
            <w:pPr>
              <w:spacing w:before="40" w:after="20"/>
              <w:ind w:right="31"/>
              <w:jc w:val="center"/>
              <w:rPr>
                <w:rFonts w:ascii="Arial Narrow" w:hAnsi="Arial Narrow" w:cs="Arial"/>
                <w:b/>
                <w:color w:val="FFFFFF" w:themeColor="background1"/>
                <w:sz w:val="18"/>
                <w:szCs w:val="18"/>
              </w:rPr>
            </w:pPr>
            <w:r w:rsidRPr="0097314A">
              <w:rPr>
                <w:rFonts w:ascii="Arial Narrow" w:hAnsi="Arial Narrow" w:cs="Arial"/>
                <w:b/>
                <w:color w:val="FFFFFF" w:themeColor="background1"/>
                <w:sz w:val="18"/>
                <w:szCs w:val="18"/>
              </w:rPr>
              <w:t>Sud</w:t>
            </w:r>
          </w:p>
        </w:tc>
        <w:tc>
          <w:tcPr>
            <w:tcW w:w="688" w:type="pct"/>
            <w:gridSpan w:val="2"/>
            <w:shd w:val="clear" w:color="auto" w:fill="1F497D"/>
            <w:vAlign w:val="center"/>
          </w:tcPr>
          <w:p w14:paraId="6E4CE653" w14:textId="77777777" w:rsidR="002D3B4E" w:rsidRPr="0097314A" w:rsidRDefault="002D3B4E">
            <w:pPr>
              <w:spacing w:before="40" w:after="20"/>
              <w:ind w:right="31"/>
              <w:jc w:val="center"/>
              <w:rPr>
                <w:rFonts w:ascii="Arial Narrow" w:hAnsi="Arial Narrow" w:cs="Arial"/>
                <w:b/>
                <w:color w:val="FFFFFF" w:themeColor="background1"/>
                <w:sz w:val="18"/>
                <w:szCs w:val="18"/>
              </w:rPr>
            </w:pPr>
            <w:r w:rsidRPr="0097314A">
              <w:rPr>
                <w:rFonts w:ascii="Arial Narrow" w:hAnsi="Arial Narrow" w:cs="Arial"/>
                <w:b/>
                <w:color w:val="FFFFFF" w:themeColor="background1"/>
                <w:sz w:val="18"/>
                <w:szCs w:val="18"/>
              </w:rPr>
              <w:t>Isole</w:t>
            </w:r>
          </w:p>
        </w:tc>
        <w:tc>
          <w:tcPr>
            <w:tcW w:w="700" w:type="pct"/>
            <w:gridSpan w:val="3"/>
            <w:vMerge/>
            <w:shd w:val="clear" w:color="auto" w:fill="1F497D"/>
            <w:vAlign w:val="center"/>
          </w:tcPr>
          <w:p w14:paraId="172CE961" w14:textId="77777777" w:rsidR="002D3B4E" w:rsidRPr="0097314A" w:rsidRDefault="002D3B4E">
            <w:pPr>
              <w:spacing w:before="40" w:after="20"/>
              <w:ind w:right="31"/>
              <w:jc w:val="center"/>
              <w:rPr>
                <w:rFonts w:ascii="Arial Narrow" w:hAnsi="Arial Narrow" w:cs="Arial"/>
                <w:b/>
                <w:color w:val="FFFFFF" w:themeColor="background1"/>
                <w:sz w:val="18"/>
                <w:szCs w:val="18"/>
              </w:rPr>
            </w:pPr>
          </w:p>
        </w:tc>
      </w:tr>
      <w:tr w:rsidR="0063070A" w:rsidRPr="0097314A" w14:paraId="6DDA7D32" w14:textId="77777777" w:rsidTr="00AB1DFC">
        <w:trPr>
          <w:trHeight w:val="122"/>
        </w:trPr>
        <w:tc>
          <w:tcPr>
            <w:tcW w:w="857" w:type="pct"/>
            <w:vMerge/>
            <w:shd w:val="clear" w:color="auto" w:fill="D9D9D9" w:themeFill="background1" w:themeFillShade="D9"/>
            <w:tcMar>
              <w:top w:w="15" w:type="dxa"/>
              <w:left w:w="15" w:type="dxa"/>
              <w:bottom w:w="0" w:type="dxa"/>
              <w:right w:w="15" w:type="dxa"/>
            </w:tcMar>
            <w:vAlign w:val="center"/>
          </w:tcPr>
          <w:p w14:paraId="2FD57FCF" w14:textId="77777777" w:rsidR="0063070A" w:rsidRPr="0097314A" w:rsidRDefault="0063070A">
            <w:pPr>
              <w:spacing w:before="40" w:after="20"/>
              <w:ind w:left="127" w:right="31"/>
              <w:rPr>
                <w:rFonts w:ascii="Arial Narrow" w:hAnsi="Arial Narrow" w:cs="Arial"/>
                <w:b/>
                <w:color w:val="1F497D"/>
                <w:sz w:val="18"/>
                <w:szCs w:val="18"/>
              </w:rPr>
            </w:pPr>
          </w:p>
        </w:tc>
        <w:tc>
          <w:tcPr>
            <w:tcW w:w="344" w:type="pct"/>
            <w:shd w:val="clear" w:color="auto" w:fill="D9D9D9"/>
            <w:vAlign w:val="center"/>
          </w:tcPr>
          <w:p w14:paraId="2C94FC7F" w14:textId="42401D0E" w:rsidR="0063070A" w:rsidRPr="00D932CC" w:rsidRDefault="0063070A">
            <w:pPr>
              <w:spacing w:before="40" w:after="20"/>
              <w:ind w:right="-57"/>
              <w:jc w:val="right"/>
              <w:rPr>
                <w:rFonts w:ascii="Arial Narrow" w:hAnsi="Arial Narrow" w:cs="Arial"/>
                <w:b/>
                <w:sz w:val="18"/>
                <w:szCs w:val="18"/>
              </w:rPr>
            </w:pPr>
            <w:r w:rsidRPr="00F032B4">
              <w:rPr>
                <w:rFonts w:ascii="Arial Narrow" w:hAnsi="Arial Narrow" w:cs="Arial"/>
                <w:b/>
                <w:sz w:val="18"/>
                <w:szCs w:val="18"/>
              </w:rPr>
              <w:t>201</w:t>
            </w:r>
            <w:r w:rsidR="00D8424D" w:rsidRPr="00D932CC">
              <w:rPr>
                <w:rFonts w:ascii="Arial Narrow" w:hAnsi="Arial Narrow" w:cs="Arial"/>
                <w:b/>
                <w:sz w:val="18"/>
                <w:szCs w:val="18"/>
              </w:rPr>
              <w:t>9</w:t>
            </w:r>
          </w:p>
        </w:tc>
        <w:tc>
          <w:tcPr>
            <w:tcW w:w="345" w:type="pct"/>
            <w:shd w:val="clear" w:color="auto" w:fill="D9D9D9"/>
            <w:vAlign w:val="center"/>
          </w:tcPr>
          <w:p w14:paraId="6AA754DF" w14:textId="530BA5CB" w:rsidR="0063070A" w:rsidRPr="003352F2" w:rsidRDefault="00D8424D">
            <w:pPr>
              <w:spacing w:before="40" w:after="20"/>
              <w:ind w:right="-57"/>
              <w:jc w:val="right"/>
              <w:rPr>
                <w:rFonts w:ascii="Arial Narrow" w:hAnsi="Arial Narrow" w:cs="Arial"/>
                <w:b/>
                <w:sz w:val="18"/>
                <w:szCs w:val="18"/>
              </w:rPr>
            </w:pPr>
            <w:r w:rsidRPr="003352F2">
              <w:rPr>
                <w:rFonts w:ascii="Arial Narrow" w:hAnsi="Arial Narrow" w:cs="Arial"/>
                <w:b/>
                <w:sz w:val="18"/>
                <w:szCs w:val="18"/>
              </w:rPr>
              <w:t>2020</w:t>
            </w:r>
          </w:p>
        </w:tc>
        <w:tc>
          <w:tcPr>
            <w:tcW w:w="344" w:type="pct"/>
            <w:shd w:val="clear" w:color="auto" w:fill="D9D9D9"/>
            <w:vAlign w:val="center"/>
          </w:tcPr>
          <w:p w14:paraId="306FECD1" w14:textId="4D6159BF" w:rsidR="0063070A" w:rsidRPr="00B31DE9" w:rsidRDefault="0063070A">
            <w:pPr>
              <w:spacing w:before="40" w:after="20"/>
              <w:ind w:right="-57"/>
              <w:jc w:val="right"/>
              <w:rPr>
                <w:rFonts w:ascii="Arial Narrow" w:hAnsi="Arial Narrow" w:cs="Arial"/>
                <w:b/>
                <w:sz w:val="18"/>
                <w:szCs w:val="18"/>
              </w:rPr>
            </w:pPr>
            <w:r w:rsidRPr="00B80D43">
              <w:rPr>
                <w:rFonts w:ascii="Arial Narrow" w:hAnsi="Arial Narrow" w:cs="Arial"/>
                <w:b/>
                <w:sz w:val="18"/>
                <w:szCs w:val="18"/>
              </w:rPr>
              <w:t>2</w:t>
            </w:r>
            <w:r w:rsidRPr="00B31DE9">
              <w:rPr>
                <w:rFonts w:ascii="Arial Narrow" w:hAnsi="Arial Narrow" w:cs="Arial"/>
                <w:b/>
                <w:sz w:val="18"/>
                <w:szCs w:val="18"/>
              </w:rPr>
              <w:t>01</w:t>
            </w:r>
            <w:r w:rsidR="00D8424D" w:rsidRPr="00B31DE9">
              <w:rPr>
                <w:rFonts w:ascii="Arial Narrow" w:hAnsi="Arial Narrow" w:cs="Arial"/>
                <w:b/>
                <w:sz w:val="18"/>
                <w:szCs w:val="18"/>
              </w:rPr>
              <w:t>9</w:t>
            </w:r>
          </w:p>
        </w:tc>
        <w:tc>
          <w:tcPr>
            <w:tcW w:w="345" w:type="pct"/>
            <w:shd w:val="clear" w:color="auto" w:fill="D9D9D9"/>
            <w:vAlign w:val="center"/>
          </w:tcPr>
          <w:p w14:paraId="50DCE6CA" w14:textId="1B7A0811" w:rsidR="0063070A" w:rsidRPr="00AE0E43" w:rsidRDefault="00D8424D">
            <w:pPr>
              <w:spacing w:before="40" w:after="20"/>
              <w:ind w:right="-57"/>
              <w:jc w:val="right"/>
              <w:rPr>
                <w:rFonts w:ascii="Arial Narrow" w:hAnsi="Arial Narrow" w:cs="Arial"/>
                <w:b/>
                <w:sz w:val="18"/>
                <w:szCs w:val="18"/>
              </w:rPr>
            </w:pPr>
            <w:r w:rsidRPr="00AE0E43">
              <w:rPr>
                <w:rFonts w:ascii="Arial Narrow" w:hAnsi="Arial Narrow" w:cs="Arial"/>
                <w:b/>
                <w:sz w:val="18"/>
                <w:szCs w:val="18"/>
              </w:rPr>
              <w:t>2020</w:t>
            </w:r>
          </w:p>
        </w:tc>
        <w:tc>
          <w:tcPr>
            <w:tcW w:w="345" w:type="pct"/>
            <w:shd w:val="clear" w:color="auto" w:fill="D9D9D9"/>
            <w:vAlign w:val="center"/>
          </w:tcPr>
          <w:p w14:paraId="458EBD8E" w14:textId="499A1694" w:rsidR="0063070A" w:rsidRPr="00B93790" w:rsidRDefault="0063070A">
            <w:pPr>
              <w:spacing w:before="40" w:after="20"/>
              <w:ind w:right="-57"/>
              <w:jc w:val="right"/>
              <w:rPr>
                <w:rFonts w:ascii="Arial Narrow" w:hAnsi="Arial Narrow" w:cs="Arial"/>
                <w:b/>
                <w:sz w:val="18"/>
                <w:szCs w:val="18"/>
              </w:rPr>
            </w:pPr>
            <w:r w:rsidRPr="00B93790">
              <w:rPr>
                <w:rFonts w:ascii="Arial Narrow" w:hAnsi="Arial Narrow" w:cs="Arial"/>
                <w:b/>
                <w:sz w:val="18"/>
                <w:szCs w:val="18"/>
              </w:rPr>
              <w:t>201</w:t>
            </w:r>
            <w:r w:rsidR="00D8424D" w:rsidRPr="00B93790">
              <w:rPr>
                <w:rFonts w:ascii="Arial Narrow" w:hAnsi="Arial Narrow" w:cs="Arial"/>
                <w:b/>
                <w:sz w:val="18"/>
                <w:szCs w:val="18"/>
              </w:rPr>
              <w:t>9</w:t>
            </w:r>
          </w:p>
        </w:tc>
        <w:tc>
          <w:tcPr>
            <w:tcW w:w="344" w:type="pct"/>
            <w:shd w:val="clear" w:color="auto" w:fill="D9D9D9"/>
            <w:vAlign w:val="center"/>
          </w:tcPr>
          <w:p w14:paraId="100AD930" w14:textId="04C8579F" w:rsidR="0063070A" w:rsidRPr="00D36162" w:rsidRDefault="00D8424D">
            <w:pPr>
              <w:spacing w:before="40" w:after="20"/>
              <w:ind w:right="-57"/>
              <w:jc w:val="right"/>
              <w:rPr>
                <w:rFonts w:ascii="Arial Narrow" w:hAnsi="Arial Narrow" w:cs="Arial"/>
                <w:b/>
                <w:sz w:val="18"/>
                <w:szCs w:val="18"/>
              </w:rPr>
            </w:pPr>
            <w:r w:rsidRPr="00D36162">
              <w:rPr>
                <w:rFonts w:ascii="Arial Narrow" w:hAnsi="Arial Narrow" w:cs="Arial"/>
                <w:b/>
                <w:sz w:val="18"/>
                <w:szCs w:val="18"/>
              </w:rPr>
              <w:t>2020</w:t>
            </w:r>
          </w:p>
        </w:tc>
        <w:tc>
          <w:tcPr>
            <w:tcW w:w="344" w:type="pct"/>
            <w:shd w:val="clear" w:color="auto" w:fill="D9D9D9"/>
            <w:vAlign w:val="center"/>
          </w:tcPr>
          <w:p w14:paraId="0B3ACFCC" w14:textId="2EC55549" w:rsidR="0063070A" w:rsidRPr="00FF1EDB" w:rsidRDefault="0063070A">
            <w:pPr>
              <w:spacing w:before="40" w:after="20"/>
              <w:ind w:right="-57"/>
              <w:jc w:val="right"/>
              <w:rPr>
                <w:rFonts w:ascii="Arial Narrow" w:hAnsi="Arial Narrow" w:cs="Arial"/>
                <w:b/>
                <w:sz w:val="18"/>
                <w:szCs w:val="18"/>
              </w:rPr>
            </w:pPr>
            <w:r w:rsidRPr="00FF1EDB">
              <w:rPr>
                <w:rFonts w:ascii="Arial Narrow" w:hAnsi="Arial Narrow" w:cs="Arial"/>
                <w:b/>
                <w:sz w:val="18"/>
                <w:szCs w:val="18"/>
              </w:rPr>
              <w:t>201</w:t>
            </w:r>
            <w:r w:rsidR="00D8424D" w:rsidRPr="00FF1EDB">
              <w:rPr>
                <w:rFonts w:ascii="Arial Narrow" w:hAnsi="Arial Narrow" w:cs="Arial"/>
                <w:b/>
                <w:sz w:val="18"/>
                <w:szCs w:val="18"/>
              </w:rPr>
              <w:t>9</w:t>
            </w:r>
          </w:p>
        </w:tc>
        <w:tc>
          <w:tcPr>
            <w:tcW w:w="344" w:type="pct"/>
            <w:shd w:val="clear" w:color="auto" w:fill="D9D9D9"/>
            <w:vAlign w:val="center"/>
          </w:tcPr>
          <w:p w14:paraId="6A4271EA" w14:textId="3FB5198D" w:rsidR="0063070A" w:rsidRPr="00FF1EDB" w:rsidRDefault="00D8424D">
            <w:pPr>
              <w:spacing w:before="40" w:after="20"/>
              <w:ind w:right="-57"/>
              <w:jc w:val="right"/>
              <w:rPr>
                <w:rFonts w:ascii="Arial Narrow" w:hAnsi="Arial Narrow" w:cs="Arial"/>
                <w:b/>
                <w:sz w:val="18"/>
                <w:szCs w:val="18"/>
              </w:rPr>
            </w:pPr>
            <w:r w:rsidRPr="00FF1EDB">
              <w:rPr>
                <w:rFonts w:ascii="Arial Narrow" w:hAnsi="Arial Narrow" w:cs="Arial"/>
                <w:b/>
                <w:sz w:val="18"/>
                <w:szCs w:val="18"/>
              </w:rPr>
              <w:t>2020</w:t>
            </w:r>
          </w:p>
        </w:tc>
        <w:tc>
          <w:tcPr>
            <w:tcW w:w="344" w:type="pct"/>
            <w:shd w:val="clear" w:color="auto" w:fill="D9D9D9"/>
            <w:vAlign w:val="center"/>
          </w:tcPr>
          <w:p w14:paraId="12190FAD" w14:textId="45882C48" w:rsidR="0063070A" w:rsidRPr="00FF1EDB" w:rsidRDefault="0063070A">
            <w:pPr>
              <w:spacing w:before="40" w:after="20"/>
              <w:ind w:right="-57"/>
              <w:jc w:val="right"/>
              <w:rPr>
                <w:rFonts w:ascii="Arial Narrow" w:hAnsi="Arial Narrow" w:cs="Arial"/>
                <w:b/>
                <w:sz w:val="18"/>
                <w:szCs w:val="18"/>
              </w:rPr>
            </w:pPr>
            <w:r w:rsidRPr="00FF1EDB">
              <w:rPr>
                <w:rFonts w:ascii="Arial Narrow" w:hAnsi="Arial Narrow" w:cs="Arial"/>
                <w:b/>
                <w:sz w:val="18"/>
                <w:szCs w:val="18"/>
              </w:rPr>
              <w:t>201</w:t>
            </w:r>
            <w:r w:rsidR="00D8424D" w:rsidRPr="00FF1EDB">
              <w:rPr>
                <w:rFonts w:ascii="Arial Narrow" w:hAnsi="Arial Narrow" w:cs="Arial"/>
                <w:b/>
                <w:sz w:val="18"/>
                <w:szCs w:val="18"/>
              </w:rPr>
              <w:t>9</w:t>
            </w:r>
          </w:p>
        </w:tc>
        <w:tc>
          <w:tcPr>
            <w:tcW w:w="344" w:type="pct"/>
            <w:shd w:val="clear" w:color="auto" w:fill="D9D9D9"/>
            <w:vAlign w:val="center"/>
          </w:tcPr>
          <w:p w14:paraId="667B2860" w14:textId="5027C31A" w:rsidR="0063070A" w:rsidRPr="00FF1EDB" w:rsidRDefault="00D8424D">
            <w:pPr>
              <w:spacing w:before="40" w:after="20"/>
              <w:ind w:right="-57"/>
              <w:jc w:val="right"/>
              <w:rPr>
                <w:rFonts w:ascii="Arial Narrow" w:hAnsi="Arial Narrow" w:cs="Arial"/>
                <w:b/>
                <w:sz w:val="18"/>
                <w:szCs w:val="18"/>
              </w:rPr>
            </w:pPr>
            <w:r w:rsidRPr="00FF1EDB">
              <w:rPr>
                <w:rFonts w:ascii="Arial Narrow" w:hAnsi="Arial Narrow" w:cs="Arial"/>
                <w:b/>
                <w:sz w:val="18"/>
                <w:szCs w:val="18"/>
              </w:rPr>
              <w:t>2020</w:t>
            </w:r>
          </w:p>
        </w:tc>
        <w:tc>
          <w:tcPr>
            <w:tcW w:w="344" w:type="pct"/>
            <w:gridSpan w:val="2"/>
            <w:shd w:val="clear" w:color="auto" w:fill="D9D9D9"/>
            <w:vAlign w:val="center"/>
          </w:tcPr>
          <w:p w14:paraId="1DC8E47C" w14:textId="1635EBF4" w:rsidR="0063070A" w:rsidRPr="00FF1EDB" w:rsidRDefault="0063070A">
            <w:pPr>
              <w:spacing w:before="40" w:after="20"/>
              <w:ind w:right="-57"/>
              <w:jc w:val="right"/>
              <w:rPr>
                <w:rFonts w:ascii="Arial Narrow" w:hAnsi="Arial Narrow" w:cs="Arial"/>
                <w:b/>
                <w:sz w:val="18"/>
                <w:szCs w:val="18"/>
              </w:rPr>
            </w:pPr>
            <w:r w:rsidRPr="00FF1EDB">
              <w:rPr>
                <w:rFonts w:ascii="Arial Narrow" w:hAnsi="Arial Narrow" w:cs="Arial"/>
                <w:b/>
                <w:sz w:val="18"/>
                <w:szCs w:val="18"/>
              </w:rPr>
              <w:t>201</w:t>
            </w:r>
            <w:r w:rsidR="00D8424D" w:rsidRPr="00FF1EDB">
              <w:rPr>
                <w:rFonts w:ascii="Arial Narrow" w:hAnsi="Arial Narrow" w:cs="Arial"/>
                <w:b/>
                <w:sz w:val="18"/>
                <w:szCs w:val="18"/>
              </w:rPr>
              <w:t>9</w:t>
            </w:r>
          </w:p>
        </w:tc>
        <w:tc>
          <w:tcPr>
            <w:tcW w:w="356" w:type="pct"/>
            <w:shd w:val="clear" w:color="auto" w:fill="D9D9D9"/>
            <w:vAlign w:val="center"/>
          </w:tcPr>
          <w:p w14:paraId="3EF23B52" w14:textId="5DC052B5" w:rsidR="0063070A" w:rsidRPr="00FF1EDB" w:rsidRDefault="00D8424D">
            <w:pPr>
              <w:spacing w:before="40" w:after="20"/>
              <w:ind w:right="-57"/>
              <w:jc w:val="right"/>
              <w:rPr>
                <w:rFonts w:ascii="Arial Narrow" w:hAnsi="Arial Narrow" w:cs="Arial"/>
                <w:b/>
                <w:sz w:val="18"/>
                <w:szCs w:val="18"/>
              </w:rPr>
            </w:pPr>
            <w:r w:rsidRPr="00FF1EDB">
              <w:rPr>
                <w:rFonts w:ascii="Arial Narrow" w:hAnsi="Arial Narrow" w:cs="Arial"/>
                <w:b/>
                <w:sz w:val="18"/>
                <w:szCs w:val="18"/>
              </w:rPr>
              <w:t>2020</w:t>
            </w:r>
          </w:p>
        </w:tc>
      </w:tr>
      <w:tr w:rsidR="00E932E8" w:rsidRPr="0097314A" w14:paraId="0C0D5D09" w14:textId="77777777" w:rsidTr="00F3426F">
        <w:trPr>
          <w:trHeight w:hRule="exact" w:val="680"/>
        </w:trPr>
        <w:tc>
          <w:tcPr>
            <w:tcW w:w="857" w:type="pct"/>
            <w:shd w:val="clear" w:color="auto" w:fill="D9D9D9" w:themeFill="background1" w:themeFillShade="D9"/>
            <w:tcMar>
              <w:top w:w="15" w:type="dxa"/>
              <w:left w:w="15" w:type="dxa"/>
              <w:bottom w:w="0" w:type="dxa"/>
              <w:right w:w="15" w:type="dxa"/>
            </w:tcMar>
            <w:vAlign w:val="center"/>
          </w:tcPr>
          <w:p w14:paraId="7201E125" w14:textId="43B48058" w:rsidR="00E932E8" w:rsidRPr="00FF1EDB" w:rsidRDefault="00E932E8">
            <w:pPr>
              <w:spacing w:before="40" w:after="20"/>
              <w:ind w:left="127"/>
              <w:rPr>
                <w:rFonts w:ascii="Arial Narrow" w:hAnsi="Arial Narrow"/>
                <w:b/>
                <w:bCs/>
                <w:color w:val="1F497D"/>
                <w:sz w:val="18"/>
                <w:szCs w:val="18"/>
              </w:rPr>
            </w:pPr>
            <w:r w:rsidRPr="00FF1EDB">
              <w:rPr>
                <w:rFonts w:ascii="Arial Narrow" w:hAnsi="Arial Narrow"/>
                <w:b/>
                <w:bCs/>
                <w:color w:val="1F497D"/>
                <w:sz w:val="18"/>
                <w:szCs w:val="18"/>
              </w:rPr>
              <w:t>Spesa mediana mensile</w:t>
            </w:r>
          </w:p>
        </w:tc>
        <w:tc>
          <w:tcPr>
            <w:tcW w:w="344" w:type="pct"/>
            <w:shd w:val="clear" w:color="auto" w:fill="auto"/>
            <w:vAlign w:val="center"/>
          </w:tcPr>
          <w:p w14:paraId="4D273D8E" w14:textId="5802D2C5"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2.381,11</w:t>
            </w:r>
          </w:p>
        </w:tc>
        <w:tc>
          <w:tcPr>
            <w:tcW w:w="345" w:type="pct"/>
            <w:shd w:val="clear" w:color="auto" w:fill="auto"/>
            <w:vAlign w:val="center"/>
          </w:tcPr>
          <w:p w14:paraId="757146D3" w14:textId="2EADA048"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2.118,92</w:t>
            </w:r>
          </w:p>
        </w:tc>
        <w:tc>
          <w:tcPr>
            <w:tcW w:w="344" w:type="pct"/>
            <w:shd w:val="clear" w:color="auto" w:fill="D9D9D9" w:themeFill="background1" w:themeFillShade="D9"/>
            <w:vAlign w:val="center"/>
          </w:tcPr>
          <w:p w14:paraId="15B70F7B" w14:textId="0A26635C"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2.437,31</w:t>
            </w:r>
          </w:p>
        </w:tc>
        <w:tc>
          <w:tcPr>
            <w:tcW w:w="345" w:type="pct"/>
            <w:shd w:val="clear" w:color="auto" w:fill="D9D9D9" w:themeFill="background1" w:themeFillShade="D9"/>
            <w:vAlign w:val="center"/>
          </w:tcPr>
          <w:p w14:paraId="2AD99AB5" w14:textId="14A80E7F"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2.119,20</w:t>
            </w:r>
          </w:p>
        </w:tc>
        <w:tc>
          <w:tcPr>
            <w:tcW w:w="345" w:type="pct"/>
            <w:shd w:val="clear" w:color="auto" w:fill="auto"/>
            <w:vAlign w:val="center"/>
          </w:tcPr>
          <w:p w14:paraId="7910CDFE" w14:textId="6CE5FE45"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2.328,60</w:t>
            </w:r>
          </w:p>
        </w:tc>
        <w:tc>
          <w:tcPr>
            <w:tcW w:w="344" w:type="pct"/>
            <w:shd w:val="clear" w:color="auto" w:fill="auto"/>
            <w:vAlign w:val="center"/>
          </w:tcPr>
          <w:p w14:paraId="14BB8AFA" w14:textId="22763295"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2.123,90</w:t>
            </w:r>
          </w:p>
        </w:tc>
        <w:tc>
          <w:tcPr>
            <w:tcW w:w="344" w:type="pct"/>
            <w:shd w:val="clear" w:color="auto" w:fill="D9D9D9" w:themeFill="background1" w:themeFillShade="D9"/>
            <w:vAlign w:val="center"/>
          </w:tcPr>
          <w:p w14:paraId="79CF5C7A" w14:textId="79537BE3"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1.757,36</w:t>
            </w:r>
          </w:p>
        </w:tc>
        <w:tc>
          <w:tcPr>
            <w:tcW w:w="344" w:type="pct"/>
            <w:shd w:val="clear" w:color="auto" w:fill="D9D9D9" w:themeFill="background1" w:themeFillShade="D9"/>
            <w:vAlign w:val="center"/>
          </w:tcPr>
          <w:p w14:paraId="231BB559" w14:textId="211D0AF2"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1.650,57</w:t>
            </w:r>
          </w:p>
        </w:tc>
        <w:tc>
          <w:tcPr>
            <w:tcW w:w="344" w:type="pct"/>
            <w:shd w:val="clear" w:color="auto" w:fill="auto"/>
            <w:vAlign w:val="center"/>
          </w:tcPr>
          <w:p w14:paraId="7908E8ED" w14:textId="5397F97A"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1.814,16</w:t>
            </w:r>
          </w:p>
        </w:tc>
        <w:tc>
          <w:tcPr>
            <w:tcW w:w="344" w:type="pct"/>
            <w:shd w:val="clear" w:color="auto" w:fill="auto"/>
            <w:vAlign w:val="center"/>
          </w:tcPr>
          <w:p w14:paraId="65DCC4E1" w14:textId="7CA3DD6E"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1.656,15</w:t>
            </w:r>
          </w:p>
        </w:tc>
        <w:tc>
          <w:tcPr>
            <w:tcW w:w="340" w:type="pct"/>
            <w:shd w:val="clear" w:color="auto" w:fill="D9D9D9" w:themeFill="background1" w:themeFillShade="D9"/>
            <w:vAlign w:val="center"/>
          </w:tcPr>
          <w:p w14:paraId="6179E472" w14:textId="487418A6" w:rsidR="00E932E8" w:rsidRPr="00FF1EDB"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2.158,82</w:t>
            </w:r>
          </w:p>
        </w:tc>
        <w:tc>
          <w:tcPr>
            <w:tcW w:w="360" w:type="pct"/>
            <w:gridSpan w:val="2"/>
            <w:shd w:val="clear" w:color="auto" w:fill="D9D9D9" w:themeFill="background1" w:themeFillShade="D9"/>
            <w:vAlign w:val="center"/>
          </w:tcPr>
          <w:p w14:paraId="1C3DDB28" w14:textId="65C1EC23" w:rsidR="00E932E8" w:rsidRPr="00FF1EDB"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1.961,70</w:t>
            </w:r>
          </w:p>
        </w:tc>
      </w:tr>
      <w:tr w:rsidR="00E932E8" w:rsidRPr="0097314A" w14:paraId="6B8B67A9" w14:textId="77777777" w:rsidTr="00AB1DFC">
        <w:trPr>
          <w:trHeight w:hRule="exact" w:val="680"/>
        </w:trPr>
        <w:tc>
          <w:tcPr>
            <w:tcW w:w="857" w:type="pct"/>
            <w:shd w:val="clear" w:color="auto" w:fill="D9D9D9" w:themeFill="background1" w:themeFillShade="D9"/>
            <w:tcMar>
              <w:top w:w="15" w:type="dxa"/>
              <w:left w:w="15" w:type="dxa"/>
              <w:bottom w:w="0" w:type="dxa"/>
              <w:right w:w="15" w:type="dxa"/>
            </w:tcMar>
            <w:vAlign w:val="center"/>
          </w:tcPr>
          <w:p w14:paraId="77B6CB07" w14:textId="3D888C5A" w:rsidR="00E932E8" w:rsidRPr="00FF1EDB" w:rsidRDefault="00E932E8">
            <w:pPr>
              <w:spacing w:before="40" w:after="20"/>
              <w:ind w:left="127"/>
              <w:rPr>
                <w:rFonts w:ascii="Arial Narrow" w:hAnsi="Arial Narrow" w:cs="Arial"/>
                <w:b/>
                <w:color w:val="1F497D"/>
                <w:sz w:val="18"/>
                <w:szCs w:val="18"/>
              </w:rPr>
            </w:pPr>
            <w:r w:rsidRPr="00FF1EDB">
              <w:rPr>
                <w:rFonts w:ascii="Arial Narrow" w:hAnsi="Arial Narrow"/>
                <w:b/>
                <w:bCs/>
                <w:color w:val="1F497D"/>
                <w:sz w:val="18"/>
                <w:szCs w:val="18"/>
              </w:rPr>
              <w:t xml:space="preserve">Spesa media mensile </w:t>
            </w:r>
          </w:p>
        </w:tc>
        <w:tc>
          <w:tcPr>
            <w:tcW w:w="344" w:type="pct"/>
            <w:shd w:val="clear" w:color="auto" w:fill="auto"/>
            <w:vAlign w:val="center"/>
          </w:tcPr>
          <w:p w14:paraId="3A97C48E" w14:textId="24A760BE"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2.810,27</w:t>
            </w:r>
          </w:p>
        </w:tc>
        <w:tc>
          <w:tcPr>
            <w:tcW w:w="345" w:type="pct"/>
            <w:shd w:val="clear" w:color="auto" w:fill="auto"/>
            <w:vAlign w:val="center"/>
          </w:tcPr>
          <w:p w14:paraId="6B5C3C8C" w14:textId="26FB6703"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2.523,38</w:t>
            </w:r>
          </w:p>
        </w:tc>
        <w:tc>
          <w:tcPr>
            <w:tcW w:w="344" w:type="pct"/>
            <w:shd w:val="clear" w:color="auto" w:fill="D9D9D9" w:themeFill="background1" w:themeFillShade="D9"/>
            <w:vAlign w:val="center"/>
          </w:tcPr>
          <w:p w14:paraId="4C8BB335" w14:textId="0D62DC63"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2.789,97</w:t>
            </w:r>
          </w:p>
        </w:tc>
        <w:tc>
          <w:tcPr>
            <w:tcW w:w="345" w:type="pct"/>
            <w:shd w:val="clear" w:color="auto" w:fill="D9D9D9" w:themeFill="background1" w:themeFillShade="D9"/>
            <w:vAlign w:val="center"/>
          </w:tcPr>
          <w:p w14:paraId="2666C4C2" w14:textId="0E72C9F4"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2.525,33</w:t>
            </w:r>
          </w:p>
        </w:tc>
        <w:tc>
          <w:tcPr>
            <w:tcW w:w="345" w:type="pct"/>
            <w:shd w:val="clear" w:color="auto" w:fill="auto"/>
            <w:vAlign w:val="center"/>
          </w:tcPr>
          <w:p w14:paraId="4F970B69" w14:textId="347D0118"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2.754,12</w:t>
            </w:r>
          </w:p>
        </w:tc>
        <w:tc>
          <w:tcPr>
            <w:tcW w:w="344" w:type="pct"/>
            <w:shd w:val="clear" w:color="auto" w:fill="auto"/>
            <w:vAlign w:val="center"/>
          </w:tcPr>
          <w:p w14:paraId="709D992D" w14:textId="4B93027A"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2.510,51</w:t>
            </w:r>
          </w:p>
        </w:tc>
        <w:tc>
          <w:tcPr>
            <w:tcW w:w="344" w:type="pct"/>
            <w:shd w:val="clear" w:color="auto" w:fill="D9D9D9" w:themeFill="background1" w:themeFillShade="D9"/>
            <w:vAlign w:val="center"/>
          </w:tcPr>
          <w:p w14:paraId="690A51F9" w14:textId="1BF75DDC"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2.067,50</w:t>
            </w:r>
          </w:p>
        </w:tc>
        <w:tc>
          <w:tcPr>
            <w:tcW w:w="344" w:type="pct"/>
            <w:shd w:val="clear" w:color="auto" w:fill="D9D9D9" w:themeFill="background1" w:themeFillShade="D9"/>
            <w:vAlign w:val="center"/>
          </w:tcPr>
          <w:p w14:paraId="4BF7BC9C" w14:textId="297603B4"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1.898,09</w:t>
            </w:r>
          </w:p>
        </w:tc>
        <w:tc>
          <w:tcPr>
            <w:tcW w:w="344" w:type="pct"/>
            <w:shd w:val="clear" w:color="auto" w:fill="auto"/>
            <w:vAlign w:val="center"/>
          </w:tcPr>
          <w:p w14:paraId="7A0B8FE0" w14:textId="319885EE"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2.070,78</w:t>
            </w:r>
          </w:p>
        </w:tc>
        <w:tc>
          <w:tcPr>
            <w:tcW w:w="344" w:type="pct"/>
            <w:shd w:val="clear" w:color="auto" w:fill="auto"/>
            <w:vAlign w:val="center"/>
          </w:tcPr>
          <w:p w14:paraId="289B7119" w14:textId="0D144441"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1.949,00</w:t>
            </w:r>
          </w:p>
        </w:tc>
        <w:tc>
          <w:tcPr>
            <w:tcW w:w="340" w:type="pct"/>
            <w:shd w:val="clear" w:color="auto" w:fill="D9D9D9" w:themeFill="background1" w:themeFillShade="D9"/>
            <w:vAlign w:val="center"/>
          </w:tcPr>
          <w:p w14:paraId="6E4E9522" w14:textId="10D79769" w:rsidR="00E932E8" w:rsidRPr="00FF1EDB"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2.559,85</w:t>
            </w:r>
          </w:p>
        </w:tc>
        <w:tc>
          <w:tcPr>
            <w:tcW w:w="360" w:type="pct"/>
            <w:gridSpan w:val="2"/>
            <w:shd w:val="clear" w:color="auto" w:fill="D9D9D9" w:themeFill="background1" w:themeFillShade="D9"/>
            <w:vAlign w:val="center"/>
          </w:tcPr>
          <w:p w14:paraId="57BC3D60" w14:textId="47D3E56A" w:rsidR="00E932E8" w:rsidRPr="00FF1EDB"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2.328,23</w:t>
            </w:r>
          </w:p>
        </w:tc>
      </w:tr>
      <w:tr w:rsidR="00E932E8" w:rsidRPr="0097314A" w14:paraId="2963C373" w14:textId="77777777" w:rsidTr="00AB1DFC">
        <w:trPr>
          <w:trHeight w:hRule="exact" w:val="680"/>
        </w:trPr>
        <w:tc>
          <w:tcPr>
            <w:tcW w:w="857" w:type="pct"/>
            <w:shd w:val="clear" w:color="auto" w:fill="D9D9D9" w:themeFill="background1" w:themeFillShade="D9"/>
            <w:tcMar>
              <w:top w:w="15" w:type="dxa"/>
              <w:left w:w="15" w:type="dxa"/>
              <w:bottom w:w="0" w:type="dxa"/>
              <w:right w:w="15" w:type="dxa"/>
            </w:tcMar>
            <w:vAlign w:val="center"/>
          </w:tcPr>
          <w:p w14:paraId="5E14ABCA" w14:textId="70983CF9" w:rsidR="00E932E8" w:rsidRPr="00FF1EDB" w:rsidRDefault="00E932E8">
            <w:pPr>
              <w:spacing w:before="40" w:after="20"/>
              <w:ind w:left="127"/>
              <w:rPr>
                <w:rFonts w:ascii="Arial Narrow" w:hAnsi="Arial Narrow" w:cs="Arial"/>
                <w:b/>
                <w:color w:val="1F497D"/>
                <w:sz w:val="18"/>
                <w:szCs w:val="18"/>
              </w:rPr>
            </w:pPr>
            <w:r w:rsidRPr="00FF1EDB">
              <w:rPr>
                <w:rFonts w:ascii="Arial Narrow" w:hAnsi="Arial Narrow"/>
                <w:b/>
                <w:bCs/>
                <w:color w:val="1F497D"/>
                <w:sz w:val="18"/>
                <w:szCs w:val="18"/>
              </w:rPr>
              <w:t>Spesa media mensile per alimentari e bevande analcoliche</w:t>
            </w:r>
          </w:p>
        </w:tc>
        <w:tc>
          <w:tcPr>
            <w:tcW w:w="344" w:type="pct"/>
            <w:shd w:val="clear" w:color="auto" w:fill="auto"/>
            <w:vAlign w:val="center"/>
          </w:tcPr>
          <w:p w14:paraId="5A0F45B7" w14:textId="12CFAF2B"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464,87</w:t>
            </w:r>
          </w:p>
        </w:tc>
        <w:tc>
          <w:tcPr>
            <w:tcW w:w="345" w:type="pct"/>
            <w:shd w:val="clear" w:color="auto" w:fill="auto"/>
            <w:vAlign w:val="center"/>
          </w:tcPr>
          <w:p w14:paraId="16F25573" w14:textId="127246C0"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452,61</w:t>
            </w:r>
          </w:p>
        </w:tc>
        <w:tc>
          <w:tcPr>
            <w:tcW w:w="344" w:type="pct"/>
            <w:shd w:val="clear" w:color="auto" w:fill="D9D9D9" w:themeFill="background1" w:themeFillShade="D9"/>
            <w:vAlign w:val="center"/>
          </w:tcPr>
          <w:p w14:paraId="69C4D9B1" w14:textId="2DFDBC09"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443,70</w:t>
            </w:r>
          </w:p>
        </w:tc>
        <w:tc>
          <w:tcPr>
            <w:tcW w:w="345" w:type="pct"/>
            <w:shd w:val="clear" w:color="auto" w:fill="D9D9D9" w:themeFill="background1" w:themeFillShade="D9"/>
            <w:vAlign w:val="center"/>
          </w:tcPr>
          <w:p w14:paraId="3FE04EFE" w14:textId="14A1C528"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457,86</w:t>
            </w:r>
          </w:p>
        </w:tc>
        <w:tc>
          <w:tcPr>
            <w:tcW w:w="345" w:type="pct"/>
            <w:shd w:val="clear" w:color="auto" w:fill="auto"/>
            <w:vAlign w:val="center"/>
          </w:tcPr>
          <w:p w14:paraId="1B432B23" w14:textId="1D63AFB9"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475,64</w:t>
            </w:r>
          </w:p>
        </w:tc>
        <w:tc>
          <w:tcPr>
            <w:tcW w:w="344" w:type="pct"/>
            <w:shd w:val="clear" w:color="auto" w:fill="auto"/>
            <w:vAlign w:val="center"/>
          </w:tcPr>
          <w:p w14:paraId="7ADA8E6A" w14:textId="0D34BA62"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481,82</w:t>
            </w:r>
          </w:p>
        </w:tc>
        <w:tc>
          <w:tcPr>
            <w:tcW w:w="344" w:type="pct"/>
            <w:shd w:val="clear" w:color="auto" w:fill="D9D9D9" w:themeFill="background1" w:themeFillShade="D9"/>
            <w:vAlign w:val="center"/>
          </w:tcPr>
          <w:p w14:paraId="2D967B42" w14:textId="395825D7"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482,30</w:t>
            </w:r>
          </w:p>
        </w:tc>
        <w:tc>
          <w:tcPr>
            <w:tcW w:w="344" w:type="pct"/>
            <w:shd w:val="clear" w:color="auto" w:fill="D9D9D9" w:themeFill="background1" w:themeFillShade="D9"/>
            <w:vAlign w:val="center"/>
          </w:tcPr>
          <w:p w14:paraId="01036B79" w14:textId="017C3EA6"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478,00</w:t>
            </w:r>
          </w:p>
        </w:tc>
        <w:tc>
          <w:tcPr>
            <w:tcW w:w="344" w:type="pct"/>
            <w:shd w:val="clear" w:color="auto" w:fill="auto"/>
            <w:vAlign w:val="center"/>
          </w:tcPr>
          <w:p w14:paraId="7B3EA1EC" w14:textId="715969A6"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442,60</w:t>
            </w:r>
          </w:p>
        </w:tc>
        <w:tc>
          <w:tcPr>
            <w:tcW w:w="344" w:type="pct"/>
            <w:shd w:val="clear" w:color="auto" w:fill="auto"/>
            <w:vAlign w:val="center"/>
          </w:tcPr>
          <w:p w14:paraId="2CD6D7F1" w14:textId="067C6BDE"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476,90</w:t>
            </w:r>
          </w:p>
        </w:tc>
        <w:tc>
          <w:tcPr>
            <w:tcW w:w="340" w:type="pct"/>
            <w:shd w:val="clear" w:color="auto" w:fill="D9D9D9" w:themeFill="background1" w:themeFillShade="D9"/>
            <w:vAlign w:val="center"/>
          </w:tcPr>
          <w:p w14:paraId="49270B7F" w14:textId="3CB5E4C6" w:rsidR="00E932E8" w:rsidRPr="00FF1EDB"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464,27</w:t>
            </w:r>
          </w:p>
        </w:tc>
        <w:tc>
          <w:tcPr>
            <w:tcW w:w="360" w:type="pct"/>
            <w:gridSpan w:val="2"/>
            <w:shd w:val="clear" w:color="auto" w:fill="D9D9D9" w:themeFill="background1" w:themeFillShade="D9"/>
            <w:vAlign w:val="center"/>
          </w:tcPr>
          <w:p w14:paraId="79F0E3E5" w14:textId="6BAF3145" w:rsidR="00E932E8" w:rsidRPr="00FF1EDB"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467,56</w:t>
            </w:r>
          </w:p>
        </w:tc>
      </w:tr>
      <w:tr w:rsidR="00E932E8" w:rsidRPr="0097314A" w14:paraId="52579B24" w14:textId="77777777" w:rsidTr="00AB1DFC">
        <w:trPr>
          <w:trHeight w:hRule="exact" w:val="680"/>
        </w:trPr>
        <w:tc>
          <w:tcPr>
            <w:tcW w:w="857" w:type="pct"/>
            <w:shd w:val="clear" w:color="auto" w:fill="D9D9D9" w:themeFill="background1" w:themeFillShade="D9"/>
            <w:tcMar>
              <w:top w:w="15" w:type="dxa"/>
              <w:left w:w="15" w:type="dxa"/>
              <w:bottom w:w="0" w:type="dxa"/>
              <w:right w:w="15" w:type="dxa"/>
            </w:tcMar>
            <w:vAlign w:val="center"/>
          </w:tcPr>
          <w:p w14:paraId="734DE4F9" w14:textId="01ECEA7E" w:rsidR="00E932E8" w:rsidRPr="00FF1EDB" w:rsidDel="00E61DE7" w:rsidRDefault="00E932E8">
            <w:pPr>
              <w:spacing w:before="40" w:after="20"/>
              <w:ind w:left="127"/>
              <w:rPr>
                <w:rFonts w:ascii="Arial Narrow" w:hAnsi="Arial Narrow" w:cs="Arial"/>
                <w:b/>
                <w:color w:val="1F497D"/>
                <w:sz w:val="18"/>
                <w:szCs w:val="18"/>
              </w:rPr>
            </w:pPr>
            <w:r w:rsidRPr="00FF1EDB">
              <w:rPr>
                <w:rFonts w:ascii="Arial Narrow" w:hAnsi="Arial Narrow"/>
                <w:b/>
                <w:bCs/>
                <w:color w:val="1F497D"/>
                <w:sz w:val="18"/>
                <w:szCs w:val="18"/>
              </w:rPr>
              <w:t>Spesa media mensile per beni e servizi non alimentari</w:t>
            </w:r>
          </w:p>
        </w:tc>
        <w:tc>
          <w:tcPr>
            <w:tcW w:w="344" w:type="pct"/>
            <w:shd w:val="clear" w:color="auto" w:fill="auto"/>
            <w:vAlign w:val="center"/>
          </w:tcPr>
          <w:p w14:paraId="0E560844" w14:textId="764180A9" w:rsidR="00E932E8" w:rsidRPr="00FF1EDB" w:rsidDel="001408F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2.345,40</w:t>
            </w:r>
          </w:p>
        </w:tc>
        <w:tc>
          <w:tcPr>
            <w:tcW w:w="345" w:type="pct"/>
            <w:shd w:val="clear" w:color="auto" w:fill="auto"/>
            <w:vAlign w:val="center"/>
          </w:tcPr>
          <w:p w14:paraId="1587CA15" w14:textId="778B1954" w:rsidR="00E932E8" w:rsidRPr="00FF1EDB" w:rsidDel="001408F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2.070,77</w:t>
            </w:r>
          </w:p>
        </w:tc>
        <w:tc>
          <w:tcPr>
            <w:tcW w:w="344" w:type="pct"/>
            <w:shd w:val="clear" w:color="auto" w:fill="D9D9D9" w:themeFill="background1" w:themeFillShade="D9"/>
            <w:vAlign w:val="center"/>
          </w:tcPr>
          <w:p w14:paraId="15605602" w14:textId="3A9197BB" w:rsidR="00E932E8" w:rsidRPr="00FF1EDB" w:rsidDel="00740B0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2.346,27</w:t>
            </w:r>
          </w:p>
        </w:tc>
        <w:tc>
          <w:tcPr>
            <w:tcW w:w="345" w:type="pct"/>
            <w:shd w:val="clear" w:color="auto" w:fill="D9D9D9" w:themeFill="background1" w:themeFillShade="D9"/>
            <w:vAlign w:val="center"/>
          </w:tcPr>
          <w:p w14:paraId="2BD03E0E" w14:textId="3AD4BC5E" w:rsidR="00E932E8" w:rsidRPr="00FF1EDB" w:rsidDel="00740B0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2.067,47</w:t>
            </w:r>
          </w:p>
        </w:tc>
        <w:tc>
          <w:tcPr>
            <w:tcW w:w="345" w:type="pct"/>
            <w:shd w:val="clear" w:color="auto" w:fill="auto"/>
            <w:vAlign w:val="center"/>
          </w:tcPr>
          <w:p w14:paraId="6EE962D2" w14:textId="363E83C6" w:rsidR="00E932E8" w:rsidRPr="00FF1EDB" w:rsidDel="004D073D"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2.278,49</w:t>
            </w:r>
          </w:p>
        </w:tc>
        <w:tc>
          <w:tcPr>
            <w:tcW w:w="344" w:type="pct"/>
            <w:shd w:val="clear" w:color="auto" w:fill="auto"/>
            <w:vAlign w:val="center"/>
          </w:tcPr>
          <w:p w14:paraId="0A80F3ED" w14:textId="7309CEE8" w:rsidR="00E932E8" w:rsidRPr="00FF1EDB" w:rsidDel="004D073D"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2.028,69</w:t>
            </w:r>
          </w:p>
        </w:tc>
        <w:tc>
          <w:tcPr>
            <w:tcW w:w="344" w:type="pct"/>
            <w:shd w:val="clear" w:color="auto" w:fill="D9D9D9" w:themeFill="background1" w:themeFillShade="D9"/>
            <w:vAlign w:val="center"/>
          </w:tcPr>
          <w:p w14:paraId="101A724A" w14:textId="5F06D64F"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1.585,20</w:t>
            </w:r>
          </w:p>
        </w:tc>
        <w:tc>
          <w:tcPr>
            <w:tcW w:w="344" w:type="pct"/>
            <w:shd w:val="clear" w:color="auto" w:fill="D9D9D9" w:themeFill="background1" w:themeFillShade="D9"/>
            <w:vAlign w:val="center"/>
          </w:tcPr>
          <w:p w14:paraId="619F3448" w14:textId="4CB32B9F" w:rsidR="00E932E8" w:rsidRPr="00FF1EDB"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1.420,10</w:t>
            </w:r>
          </w:p>
        </w:tc>
        <w:tc>
          <w:tcPr>
            <w:tcW w:w="344" w:type="pct"/>
            <w:shd w:val="clear" w:color="auto" w:fill="auto"/>
            <w:vAlign w:val="center"/>
          </w:tcPr>
          <w:p w14:paraId="33A59F39" w14:textId="6C3D879D"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1.628,17</w:t>
            </w:r>
          </w:p>
        </w:tc>
        <w:tc>
          <w:tcPr>
            <w:tcW w:w="344" w:type="pct"/>
            <w:shd w:val="clear" w:color="auto" w:fill="auto"/>
            <w:vAlign w:val="center"/>
          </w:tcPr>
          <w:p w14:paraId="73DA2B37" w14:textId="3C126C70" w:rsidR="00E932E8" w:rsidRPr="00FF1EDB" w:rsidDel="00E61DE7" w:rsidRDefault="00E932E8">
            <w:pPr>
              <w:spacing w:before="40" w:after="20"/>
              <w:ind w:left="-227" w:right="-113"/>
              <w:jc w:val="right"/>
              <w:rPr>
                <w:rFonts w:ascii="Arial Narrow" w:hAnsi="Arial Narrow"/>
                <w:sz w:val="18"/>
                <w:szCs w:val="18"/>
              </w:rPr>
            </w:pPr>
            <w:r w:rsidRPr="00FF1EDB">
              <w:rPr>
                <w:rFonts w:ascii="Arial Narrow" w:hAnsi="Arial Narrow" w:cs="Calibri"/>
                <w:sz w:val="18"/>
                <w:szCs w:val="18"/>
              </w:rPr>
              <w:t>1.472,10</w:t>
            </w:r>
          </w:p>
        </w:tc>
        <w:tc>
          <w:tcPr>
            <w:tcW w:w="340" w:type="pct"/>
            <w:shd w:val="clear" w:color="auto" w:fill="D9D9D9" w:themeFill="background1" w:themeFillShade="D9"/>
            <w:vAlign w:val="center"/>
          </w:tcPr>
          <w:p w14:paraId="13B8D133" w14:textId="5AA3DF0C" w:rsidR="00E932E8" w:rsidRPr="00FF1EDB"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2.095,58</w:t>
            </w:r>
          </w:p>
        </w:tc>
        <w:tc>
          <w:tcPr>
            <w:tcW w:w="360" w:type="pct"/>
            <w:gridSpan w:val="2"/>
            <w:shd w:val="clear" w:color="auto" w:fill="D9D9D9" w:themeFill="background1" w:themeFillShade="D9"/>
            <w:vAlign w:val="center"/>
          </w:tcPr>
          <w:p w14:paraId="343E3A84" w14:textId="6B7D22FF" w:rsidR="00E932E8" w:rsidRPr="00FF1EDB" w:rsidDel="00E61DE7" w:rsidRDefault="00E932E8">
            <w:pPr>
              <w:tabs>
                <w:tab w:val="left" w:pos="340"/>
              </w:tabs>
              <w:spacing w:before="40" w:after="20"/>
              <w:ind w:left="-227" w:right="-113"/>
              <w:jc w:val="right"/>
              <w:rPr>
                <w:rFonts w:ascii="Arial Narrow" w:hAnsi="Arial Narrow"/>
                <w:sz w:val="18"/>
                <w:szCs w:val="18"/>
              </w:rPr>
            </w:pPr>
            <w:r w:rsidRPr="00FF1EDB">
              <w:rPr>
                <w:rFonts w:ascii="Arial Narrow" w:hAnsi="Arial Narrow" w:cs="Calibri"/>
                <w:sz w:val="18"/>
                <w:szCs w:val="18"/>
              </w:rPr>
              <w:t>1.860,68</w:t>
            </w:r>
          </w:p>
        </w:tc>
      </w:tr>
    </w:tbl>
    <w:p w14:paraId="098E9B73" w14:textId="37F4DB0E" w:rsidR="00F275D8" w:rsidRDefault="00F275D8">
      <w:pPr>
        <w:rPr>
          <w:rFonts w:ascii="Arial" w:hAnsi="Arial" w:cs="Arial"/>
          <w:color w:val="000000"/>
          <w:sz w:val="22"/>
          <w:szCs w:val="22"/>
        </w:rPr>
      </w:pPr>
      <w:r>
        <w:rPr>
          <w:rFonts w:ascii="Arial" w:hAnsi="Arial" w:cs="Arial"/>
          <w:sz w:val="22"/>
          <w:szCs w:val="22"/>
        </w:rPr>
        <w:br w:type="page"/>
      </w:r>
    </w:p>
    <w:p w14:paraId="47848B24" w14:textId="77777777" w:rsidR="00274FD1" w:rsidRDefault="00274FD1" w:rsidP="00AE1C10">
      <w:pPr>
        <w:pStyle w:val="Default"/>
        <w:spacing w:after="120"/>
        <w:jc w:val="both"/>
        <w:rPr>
          <w:rFonts w:ascii="Arial" w:hAnsi="Arial" w:cs="Arial"/>
          <w:sz w:val="22"/>
          <w:szCs w:val="22"/>
        </w:rPr>
      </w:pPr>
    </w:p>
    <w:p w14:paraId="1713A51D" w14:textId="5E2F2573" w:rsidR="00274FD1" w:rsidRDefault="004C365C" w:rsidP="00AE1C10">
      <w:pPr>
        <w:pStyle w:val="Default"/>
        <w:spacing w:after="120"/>
        <w:jc w:val="both"/>
        <w:rPr>
          <w:rFonts w:ascii="Arial" w:hAnsi="Arial" w:cs="Arial"/>
          <w:sz w:val="22"/>
          <w:szCs w:val="22"/>
        </w:rPr>
      </w:pPr>
      <w:r>
        <w:rPr>
          <w:rFonts w:ascii="Arial" w:hAnsi="Arial" w:cs="Arial"/>
          <w:sz w:val="22"/>
          <w:szCs w:val="22"/>
        </w:rPr>
        <w:t xml:space="preserve">Conseguentemente, varia anche </w:t>
      </w:r>
      <w:r w:rsidR="00274FD1">
        <w:rPr>
          <w:rFonts w:ascii="Arial" w:hAnsi="Arial" w:cs="Arial"/>
          <w:sz w:val="22"/>
          <w:szCs w:val="22"/>
        </w:rPr>
        <w:t>la composizione interna della</w:t>
      </w:r>
      <w:r w:rsidRPr="008B682A">
        <w:rPr>
          <w:rFonts w:ascii="Arial" w:hAnsi="Arial" w:cs="Arial"/>
          <w:sz w:val="22"/>
          <w:szCs w:val="22"/>
        </w:rPr>
        <w:t xml:space="preserve"> spesa </w:t>
      </w:r>
      <w:r>
        <w:rPr>
          <w:rFonts w:ascii="Arial" w:hAnsi="Arial" w:cs="Arial"/>
          <w:sz w:val="22"/>
          <w:szCs w:val="22"/>
        </w:rPr>
        <w:t>corrente</w:t>
      </w:r>
      <w:r w:rsidR="00274FD1">
        <w:rPr>
          <w:rFonts w:ascii="Arial" w:hAnsi="Arial" w:cs="Arial"/>
          <w:sz w:val="22"/>
          <w:szCs w:val="22"/>
        </w:rPr>
        <w:t xml:space="preserve">: </w:t>
      </w:r>
      <w:r w:rsidR="003352F2">
        <w:rPr>
          <w:rFonts w:ascii="Arial" w:hAnsi="Arial" w:cs="Arial"/>
          <w:color w:val="auto"/>
          <w:sz w:val="22"/>
          <w:szCs w:val="22"/>
        </w:rPr>
        <w:t xml:space="preserve">passa </w:t>
      </w:r>
      <w:r>
        <w:rPr>
          <w:rFonts w:ascii="Arial" w:hAnsi="Arial" w:cs="Arial"/>
          <w:color w:val="auto"/>
          <w:sz w:val="22"/>
          <w:szCs w:val="22"/>
        </w:rPr>
        <w:t>dal 35,0</w:t>
      </w:r>
      <w:r w:rsidR="006A39B3">
        <w:rPr>
          <w:rFonts w:ascii="Arial" w:hAnsi="Arial" w:cs="Arial"/>
          <w:color w:val="auto"/>
          <w:sz w:val="22"/>
          <w:szCs w:val="22"/>
        </w:rPr>
        <w:t>%</w:t>
      </w:r>
      <w:r>
        <w:rPr>
          <w:rFonts w:ascii="Arial" w:hAnsi="Arial" w:cs="Arial"/>
          <w:color w:val="auto"/>
          <w:sz w:val="22"/>
          <w:szCs w:val="22"/>
        </w:rPr>
        <w:t xml:space="preserve"> al 38,4% la quota di spesa </w:t>
      </w:r>
      <w:r>
        <w:rPr>
          <w:rFonts w:ascii="Arial" w:hAnsi="Arial" w:cs="Arial"/>
          <w:sz w:val="22"/>
          <w:szCs w:val="22"/>
        </w:rPr>
        <w:t xml:space="preserve">per </w:t>
      </w:r>
      <w:r w:rsidRPr="00215A84">
        <w:rPr>
          <w:rFonts w:ascii="Arial" w:hAnsi="Arial" w:cs="Arial"/>
          <w:sz w:val="22"/>
          <w:szCs w:val="22"/>
        </w:rPr>
        <w:t>Abitazione, acqua, elettricità e altri combustibili</w:t>
      </w:r>
      <w:r>
        <w:rPr>
          <w:rFonts w:ascii="Arial" w:hAnsi="Arial" w:cs="Arial"/>
          <w:sz w:val="22"/>
          <w:szCs w:val="22"/>
        </w:rPr>
        <w:t xml:space="preserve">, che resta la più rilevante, insieme a quella </w:t>
      </w:r>
      <w:r w:rsidRPr="008B682A">
        <w:rPr>
          <w:rFonts w:ascii="Arial" w:hAnsi="Arial" w:cs="Arial"/>
          <w:sz w:val="22"/>
          <w:szCs w:val="22"/>
        </w:rPr>
        <w:t>per Alimentari e bevande analcoliche</w:t>
      </w:r>
      <w:r>
        <w:rPr>
          <w:rFonts w:ascii="Arial" w:hAnsi="Arial" w:cs="Arial"/>
          <w:sz w:val="22"/>
          <w:szCs w:val="22"/>
        </w:rPr>
        <w:t xml:space="preserve"> (</w:t>
      </w:r>
      <w:r>
        <w:rPr>
          <w:rFonts w:ascii="Arial" w:hAnsi="Arial" w:cs="Arial"/>
          <w:color w:val="auto"/>
          <w:sz w:val="22"/>
          <w:szCs w:val="22"/>
        </w:rPr>
        <w:t>dal 18,1</w:t>
      </w:r>
      <w:r w:rsidR="006A39B3">
        <w:rPr>
          <w:rFonts w:ascii="Arial" w:hAnsi="Arial" w:cs="Arial"/>
          <w:color w:val="auto"/>
          <w:sz w:val="22"/>
          <w:szCs w:val="22"/>
        </w:rPr>
        <w:t>%</w:t>
      </w:r>
      <w:r>
        <w:rPr>
          <w:rFonts w:ascii="Arial" w:hAnsi="Arial" w:cs="Arial"/>
          <w:color w:val="auto"/>
          <w:sz w:val="22"/>
          <w:szCs w:val="22"/>
        </w:rPr>
        <w:t xml:space="preserve"> al 20,1%</w:t>
      </w:r>
      <w:r>
        <w:rPr>
          <w:rFonts w:ascii="Arial" w:hAnsi="Arial" w:cs="Arial"/>
          <w:sz w:val="22"/>
          <w:szCs w:val="22"/>
        </w:rPr>
        <w:t>), al cui aumento contribuiscono principalmente carni (da 3,8</w:t>
      </w:r>
      <w:r w:rsidR="006A39B3">
        <w:rPr>
          <w:rFonts w:ascii="Arial" w:hAnsi="Arial" w:cs="Arial"/>
          <w:sz w:val="22"/>
          <w:szCs w:val="22"/>
        </w:rPr>
        <w:t>%</w:t>
      </w:r>
      <w:r>
        <w:rPr>
          <w:rFonts w:ascii="Arial" w:hAnsi="Arial" w:cs="Arial"/>
          <w:sz w:val="22"/>
          <w:szCs w:val="22"/>
        </w:rPr>
        <w:t xml:space="preserve"> a 4,4%) e latte, formaggi e uova (da 2,3</w:t>
      </w:r>
      <w:r w:rsidR="006A39B3">
        <w:rPr>
          <w:rFonts w:ascii="Arial" w:hAnsi="Arial" w:cs="Arial"/>
          <w:sz w:val="22"/>
          <w:szCs w:val="22"/>
        </w:rPr>
        <w:t>%</w:t>
      </w:r>
      <w:r>
        <w:rPr>
          <w:rFonts w:ascii="Arial" w:hAnsi="Arial" w:cs="Arial"/>
          <w:sz w:val="22"/>
          <w:szCs w:val="22"/>
        </w:rPr>
        <w:t xml:space="preserve"> a 2,7%)</w:t>
      </w:r>
      <w:r w:rsidR="00274FD1">
        <w:rPr>
          <w:rFonts w:ascii="Arial" w:hAnsi="Arial" w:cs="Arial"/>
          <w:sz w:val="22"/>
          <w:szCs w:val="22"/>
        </w:rPr>
        <w:t xml:space="preserve">. Si </w:t>
      </w:r>
      <w:r w:rsidR="00C42F91">
        <w:rPr>
          <w:rFonts w:ascii="Arial" w:hAnsi="Arial" w:cs="Arial"/>
          <w:sz w:val="22"/>
          <w:szCs w:val="22"/>
        </w:rPr>
        <w:t xml:space="preserve">riducono </w:t>
      </w:r>
      <w:r w:rsidR="00274FD1">
        <w:rPr>
          <w:rFonts w:ascii="Arial" w:hAnsi="Arial" w:cs="Arial"/>
          <w:sz w:val="22"/>
          <w:szCs w:val="22"/>
        </w:rPr>
        <w:t xml:space="preserve">invece </w:t>
      </w:r>
      <w:r w:rsidR="00FF1EDB">
        <w:rPr>
          <w:rFonts w:ascii="Arial" w:hAnsi="Arial" w:cs="Arial"/>
          <w:sz w:val="22"/>
          <w:szCs w:val="22"/>
        </w:rPr>
        <w:t xml:space="preserve">complessivamente </w:t>
      </w:r>
      <w:r w:rsidR="00274FD1">
        <w:rPr>
          <w:rFonts w:ascii="Arial" w:hAnsi="Arial" w:cs="Arial"/>
          <w:sz w:val="22"/>
          <w:szCs w:val="22"/>
        </w:rPr>
        <w:t>di due punti percentuali (</w:t>
      </w:r>
      <w:r>
        <w:rPr>
          <w:rFonts w:ascii="Arial" w:hAnsi="Arial" w:cs="Arial"/>
          <w:sz w:val="22"/>
          <w:szCs w:val="22"/>
        </w:rPr>
        <w:t>dall’81,9</w:t>
      </w:r>
      <w:r w:rsidR="006A39B3">
        <w:rPr>
          <w:rFonts w:ascii="Arial" w:hAnsi="Arial" w:cs="Arial"/>
          <w:sz w:val="22"/>
          <w:szCs w:val="22"/>
        </w:rPr>
        <w:t>%</w:t>
      </w:r>
      <w:r>
        <w:rPr>
          <w:rFonts w:ascii="Arial" w:hAnsi="Arial" w:cs="Arial"/>
          <w:sz w:val="22"/>
          <w:szCs w:val="22"/>
        </w:rPr>
        <w:t xml:space="preserve"> al 79,9%</w:t>
      </w:r>
      <w:r w:rsidR="00274FD1">
        <w:rPr>
          <w:rFonts w:ascii="Arial" w:hAnsi="Arial" w:cs="Arial"/>
          <w:sz w:val="22"/>
          <w:szCs w:val="22"/>
        </w:rPr>
        <w:t xml:space="preserve">) </w:t>
      </w:r>
      <w:r w:rsidR="00AF74B9">
        <w:rPr>
          <w:rFonts w:ascii="Arial" w:hAnsi="Arial" w:cs="Arial"/>
          <w:sz w:val="22"/>
          <w:szCs w:val="22"/>
        </w:rPr>
        <w:t xml:space="preserve">le quote destinate </w:t>
      </w:r>
      <w:r>
        <w:rPr>
          <w:rFonts w:ascii="Arial" w:hAnsi="Arial" w:cs="Arial"/>
          <w:sz w:val="22"/>
          <w:szCs w:val="22"/>
        </w:rPr>
        <w:t>a beni e servizi non alimentari, in particolare</w:t>
      </w:r>
      <w:r w:rsidR="00AF74B9">
        <w:rPr>
          <w:rFonts w:ascii="Arial" w:hAnsi="Arial" w:cs="Arial"/>
          <w:sz w:val="22"/>
          <w:szCs w:val="22"/>
        </w:rPr>
        <w:t xml:space="preserve"> quelle relative a</w:t>
      </w:r>
      <w:r>
        <w:rPr>
          <w:rFonts w:ascii="Arial" w:hAnsi="Arial" w:cs="Arial"/>
          <w:sz w:val="22"/>
          <w:szCs w:val="22"/>
        </w:rPr>
        <w:t xml:space="preserve"> Trasporti (da 11,3</w:t>
      </w:r>
      <w:r w:rsidR="006A39B3">
        <w:rPr>
          <w:rFonts w:ascii="Arial" w:hAnsi="Arial" w:cs="Arial"/>
          <w:sz w:val="22"/>
          <w:szCs w:val="22"/>
        </w:rPr>
        <w:t>%</w:t>
      </w:r>
      <w:r>
        <w:rPr>
          <w:rFonts w:ascii="Arial" w:hAnsi="Arial" w:cs="Arial"/>
          <w:sz w:val="22"/>
          <w:szCs w:val="22"/>
        </w:rPr>
        <w:t xml:space="preserve"> a 9,3%), Servizi ricettivi e di ristorazione (da 5,1</w:t>
      </w:r>
      <w:r w:rsidR="006A39B3">
        <w:rPr>
          <w:rFonts w:ascii="Arial" w:hAnsi="Arial" w:cs="Arial"/>
          <w:sz w:val="22"/>
          <w:szCs w:val="22"/>
        </w:rPr>
        <w:t>%</w:t>
      </w:r>
      <w:r>
        <w:rPr>
          <w:rFonts w:ascii="Arial" w:hAnsi="Arial" w:cs="Arial"/>
          <w:sz w:val="22"/>
          <w:szCs w:val="22"/>
        </w:rPr>
        <w:t xml:space="preserve"> a 3,4%), Ricreazione, spettacoli e cultura (da 5,0</w:t>
      </w:r>
      <w:r w:rsidR="006A39B3">
        <w:rPr>
          <w:rFonts w:ascii="Arial" w:hAnsi="Arial" w:cs="Arial"/>
          <w:sz w:val="22"/>
          <w:szCs w:val="22"/>
        </w:rPr>
        <w:t>%</w:t>
      </w:r>
      <w:r>
        <w:rPr>
          <w:rFonts w:ascii="Arial" w:hAnsi="Arial" w:cs="Arial"/>
          <w:sz w:val="22"/>
          <w:szCs w:val="22"/>
        </w:rPr>
        <w:t xml:space="preserve"> a 4,0%) e Abbigliamento e calzature (da 4,5</w:t>
      </w:r>
      <w:r w:rsidR="006A39B3">
        <w:rPr>
          <w:rFonts w:ascii="Arial" w:hAnsi="Arial" w:cs="Arial"/>
          <w:sz w:val="22"/>
          <w:szCs w:val="22"/>
        </w:rPr>
        <w:t>%</w:t>
      </w:r>
      <w:r>
        <w:rPr>
          <w:rFonts w:ascii="Arial" w:hAnsi="Arial" w:cs="Arial"/>
          <w:sz w:val="22"/>
          <w:szCs w:val="22"/>
        </w:rPr>
        <w:t xml:space="preserve"> a 3,8%).</w:t>
      </w:r>
      <w:r w:rsidR="00EA589C">
        <w:rPr>
          <w:rFonts w:ascii="Arial" w:hAnsi="Arial" w:cs="Arial"/>
          <w:sz w:val="22"/>
          <w:szCs w:val="22"/>
        </w:rPr>
        <w:t xml:space="preserve"> </w:t>
      </w:r>
    </w:p>
    <w:p w14:paraId="69DA97FE" w14:textId="592CBDE2" w:rsidR="00F275D8" w:rsidRDefault="004C365C" w:rsidP="00E11F98">
      <w:pPr>
        <w:autoSpaceDE w:val="0"/>
        <w:autoSpaceDN w:val="0"/>
        <w:adjustRightInd w:val="0"/>
        <w:spacing w:before="140" w:after="120"/>
        <w:jc w:val="both"/>
        <w:rPr>
          <w:rFonts w:ascii="Arial" w:hAnsi="Arial" w:cs="Arial"/>
          <w:sz w:val="22"/>
          <w:szCs w:val="22"/>
        </w:rPr>
      </w:pPr>
      <w:r>
        <w:rPr>
          <w:rFonts w:ascii="Arial" w:hAnsi="Arial" w:cs="Arial"/>
          <w:sz w:val="22"/>
          <w:szCs w:val="22"/>
        </w:rPr>
        <w:t xml:space="preserve">Tra le altre categorie merceologiche, </w:t>
      </w:r>
      <w:r w:rsidR="00AF74B9">
        <w:rPr>
          <w:rFonts w:ascii="Arial" w:hAnsi="Arial" w:cs="Arial"/>
          <w:sz w:val="22"/>
          <w:szCs w:val="22"/>
        </w:rPr>
        <w:t xml:space="preserve">quella degli </w:t>
      </w:r>
      <w:r>
        <w:rPr>
          <w:rFonts w:ascii="Arial" w:hAnsi="Arial" w:cs="Arial"/>
          <w:sz w:val="22"/>
          <w:szCs w:val="22"/>
        </w:rPr>
        <w:t>A</w:t>
      </w:r>
      <w:r w:rsidRPr="0089775B">
        <w:rPr>
          <w:rFonts w:ascii="Arial" w:hAnsi="Arial" w:cs="Arial"/>
          <w:sz w:val="22"/>
          <w:szCs w:val="22"/>
        </w:rPr>
        <w:t xml:space="preserve">ltri beni e servizi </w:t>
      </w:r>
      <w:r w:rsidR="00AF74B9">
        <w:rPr>
          <w:rFonts w:ascii="Arial" w:hAnsi="Arial" w:cs="Arial"/>
          <w:sz w:val="22"/>
          <w:szCs w:val="22"/>
        </w:rPr>
        <w:t xml:space="preserve">(che </w:t>
      </w:r>
      <w:r w:rsidR="00EA589C">
        <w:rPr>
          <w:rFonts w:ascii="Arial" w:hAnsi="Arial" w:cs="Arial"/>
          <w:sz w:val="22"/>
          <w:szCs w:val="22"/>
        </w:rPr>
        <w:t xml:space="preserve">rappresenta il </w:t>
      </w:r>
      <w:r w:rsidR="00EA589C" w:rsidRPr="0089775B">
        <w:rPr>
          <w:rFonts w:ascii="Arial" w:hAnsi="Arial" w:cs="Arial"/>
          <w:sz w:val="22"/>
          <w:szCs w:val="22"/>
        </w:rPr>
        <w:t>7,2% della spesa totale</w:t>
      </w:r>
      <w:r w:rsidR="00AF74B9">
        <w:rPr>
          <w:rFonts w:ascii="Arial" w:hAnsi="Arial" w:cs="Arial"/>
          <w:sz w:val="22"/>
          <w:szCs w:val="22"/>
        </w:rPr>
        <w:t>,</w:t>
      </w:r>
      <w:r w:rsidR="002B749D">
        <w:rPr>
          <w:rFonts w:ascii="Arial" w:hAnsi="Arial" w:cs="Arial"/>
          <w:sz w:val="22"/>
          <w:szCs w:val="22"/>
        </w:rPr>
        <w:t xml:space="preserve"> 167 euro mensili</w:t>
      </w:r>
      <w:r>
        <w:rPr>
          <w:rFonts w:ascii="Arial" w:hAnsi="Arial" w:cs="Arial"/>
          <w:sz w:val="22"/>
          <w:szCs w:val="22"/>
        </w:rPr>
        <w:t xml:space="preserve">) </w:t>
      </w:r>
      <w:r w:rsidR="00AF74B9">
        <w:rPr>
          <w:rFonts w:ascii="Arial" w:hAnsi="Arial" w:cs="Arial"/>
          <w:sz w:val="22"/>
          <w:szCs w:val="22"/>
        </w:rPr>
        <w:t xml:space="preserve">scende </w:t>
      </w:r>
      <w:r>
        <w:rPr>
          <w:rFonts w:ascii="Arial" w:hAnsi="Arial" w:cs="Arial"/>
          <w:sz w:val="22"/>
          <w:szCs w:val="22"/>
        </w:rPr>
        <w:t xml:space="preserve">del </w:t>
      </w:r>
      <w:r w:rsidRPr="0089775B">
        <w:rPr>
          <w:rFonts w:ascii="Arial" w:hAnsi="Arial" w:cs="Arial"/>
          <w:sz w:val="22"/>
          <w:szCs w:val="22"/>
        </w:rPr>
        <w:t>12,1% rispetto al 2019</w:t>
      </w:r>
      <w:r w:rsidR="00AF74B9">
        <w:rPr>
          <w:rFonts w:ascii="Arial" w:hAnsi="Arial" w:cs="Arial"/>
          <w:sz w:val="22"/>
          <w:szCs w:val="22"/>
        </w:rPr>
        <w:t xml:space="preserve"> mentre</w:t>
      </w:r>
      <w:r>
        <w:rPr>
          <w:rFonts w:ascii="Arial" w:hAnsi="Arial" w:cs="Arial"/>
          <w:sz w:val="22"/>
          <w:szCs w:val="22"/>
        </w:rPr>
        <w:t xml:space="preserve"> </w:t>
      </w:r>
      <w:r w:rsidR="00AF74B9" w:rsidRPr="0089775B">
        <w:rPr>
          <w:rFonts w:ascii="Arial" w:hAnsi="Arial" w:cs="Arial"/>
          <w:sz w:val="22"/>
          <w:szCs w:val="22"/>
        </w:rPr>
        <w:t>la spesa per Comunicazioni</w:t>
      </w:r>
      <w:r w:rsidR="00AF74B9">
        <w:rPr>
          <w:rFonts w:ascii="Arial" w:hAnsi="Arial" w:cs="Arial"/>
          <w:sz w:val="22"/>
          <w:szCs w:val="22"/>
        </w:rPr>
        <w:t xml:space="preserve"> </w:t>
      </w:r>
      <w:r w:rsidR="00AF74B9" w:rsidRPr="0089775B">
        <w:rPr>
          <w:rFonts w:ascii="Arial" w:hAnsi="Arial" w:cs="Arial"/>
          <w:sz w:val="22"/>
          <w:szCs w:val="22"/>
        </w:rPr>
        <w:t>(2,3% della spesa totale</w:t>
      </w:r>
      <w:r w:rsidR="00AF74B9">
        <w:rPr>
          <w:rFonts w:ascii="Arial" w:hAnsi="Arial" w:cs="Arial"/>
          <w:sz w:val="22"/>
          <w:szCs w:val="22"/>
        </w:rPr>
        <w:t xml:space="preserve">; </w:t>
      </w:r>
      <w:r w:rsidR="00AF74B9" w:rsidRPr="0089775B">
        <w:rPr>
          <w:rFonts w:ascii="Arial" w:hAnsi="Arial" w:cs="Arial"/>
          <w:sz w:val="22"/>
          <w:szCs w:val="22"/>
        </w:rPr>
        <w:t>54 euro mensili)</w:t>
      </w:r>
      <w:r w:rsidR="00AF74B9">
        <w:rPr>
          <w:rFonts w:ascii="Arial" w:hAnsi="Arial" w:cs="Arial"/>
          <w:sz w:val="22"/>
          <w:szCs w:val="22"/>
        </w:rPr>
        <w:t xml:space="preserve"> diminuisce</w:t>
      </w:r>
      <w:r w:rsidR="00594218">
        <w:rPr>
          <w:rFonts w:ascii="Arial" w:hAnsi="Arial" w:cs="Arial"/>
          <w:sz w:val="22"/>
          <w:szCs w:val="22"/>
        </w:rPr>
        <w:t xml:space="preserve"> dell</w:t>
      </w:r>
      <w:r w:rsidR="00F275D8">
        <w:rPr>
          <w:rFonts w:ascii="Arial" w:hAnsi="Arial" w:cs="Arial"/>
          <w:sz w:val="22"/>
          <w:szCs w:val="22"/>
        </w:rPr>
        <w:t>’</w:t>
      </w:r>
      <w:r w:rsidR="00594218" w:rsidRPr="0089775B">
        <w:rPr>
          <w:rFonts w:ascii="Arial" w:hAnsi="Arial" w:cs="Arial"/>
          <w:sz w:val="22"/>
          <w:szCs w:val="22"/>
        </w:rPr>
        <w:t xml:space="preserve">8,7%, </w:t>
      </w:r>
      <w:proofErr w:type="gramStart"/>
      <w:r w:rsidR="00AF74B9">
        <w:rPr>
          <w:rFonts w:ascii="Arial" w:hAnsi="Arial" w:cs="Arial"/>
          <w:sz w:val="22"/>
          <w:szCs w:val="22"/>
        </w:rPr>
        <w:t xml:space="preserve">un </w:t>
      </w:r>
      <w:r w:rsidR="00594218">
        <w:rPr>
          <w:rFonts w:ascii="Arial" w:hAnsi="Arial" w:cs="Arial"/>
          <w:sz w:val="22"/>
          <w:szCs w:val="22"/>
        </w:rPr>
        <w:t>trend</w:t>
      </w:r>
      <w:proofErr w:type="gramEnd"/>
      <w:r w:rsidR="00594218">
        <w:rPr>
          <w:rFonts w:ascii="Arial" w:hAnsi="Arial" w:cs="Arial"/>
          <w:sz w:val="22"/>
          <w:szCs w:val="22"/>
        </w:rPr>
        <w:t xml:space="preserve"> ormai di lungo periodo dovuto anche a variazioni negative dei prezzi per questo specifico capitolo di spesa</w:t>
      </w:r>
      <w:r w:rsidRPr="0089775B">
        <w:rPr>
          <w:rFonts w:ascii="Arial" w:hAnsi="Arial" w:cs="Arial"/>
          <w:sz w:val="22"/>
          <w:szCs w:val="22"/>
        </w:rPr>
        <w:t xml:space="preserve">. </w:t>
      </w:r>
    </w:p>
    <w:p w14:paraId="630B69D1" w14:textId="05EA215A" w:rsidR="00EC36D2" w:rsidRDefault="004C365C" w:rsidP="00E11F98">
      <w:pPr>
        <w:autoSpaceDE w:val="0"/>
        <w:autoSpaceDN w:val="0"/>
        <w:adjustRightInd w:val="0"/>
        <w:spacing w:before="140" w:after="120"/>
        <w:jc w:val="both"/>
        <w:rPr>
          <w:rFonts w:ascii="Arial" w:hAnsi="Arial" w:cs="Arial"/>
          <w:sz w:val="22"/>
          <w:szCs w:val="22"/>
        </w:rPr>
      </w:pPr>
      <w:r w:rsidRPr="0089775B">
        <w:rPr>
          <w:rFonts w:ascii="Arial" w:hAnsi="Arial" w:cs="Arial"/>
          <w:sz w:val="22"/>
          <w:szCs w:val="22"/>
        </w:rPr>
        <w:t>A seguire</w:t>
      </w:r>
      <w:r w:rsidR="00EA589C">
        <w:rPr>
          <w:rFonts w:ascii="Arial" w:hAnsi="Arial" w:cs="Arial"/>
          <w:sz w:val="22"/>
          <w:szCs w:val="22"/>
        </w:rPr>
        <w:t>,</w:t>
      </w:r>
      <w:r w:rsidRPr="0089775B">
        <w:rPr>
          <w:rFonts w:ascii="Arial" w:hAnsi="Arial" w:cs="Arial"/>
          <w:sz w:val="22"/>
          <w:szCs w:val="22"/>
        </w:rPr>
        <w:t xml:space="preserve"> </w:t>
      </w:r>
      <w:r w:rsidR="00AF74B9">
        <w:rPr>
          <w:rFonts w:ascii="Arial" w:hAnsi="Arial" w:cs="Arial"/>
          <w:sz w:val="22"/>
          <w:szCs w:val="22"/>
        </w:rPr>
        <w:t xml:space="preserve">il capitolo </w:t>
      </w:r>
      <w:r w:rsidRPr="0089775B">
        <w:rPr>
          <w:rFonts w:ascii="Arial" w:hAnsi="Arial" w:cs="Arial"/>
          <w:sz w:val="22"/>
          <w:szCs w:val="22"/>
        </w:rPr>
        <w:t>Servizi sanitari e spese per la salute (4,6% della spesa complessiva, 108 euro al mese</w:t>
      </w:r>
      <w:r w:rsidR="00FE20BC">
        <w:rPr>
          <w:rFonts w:ascii="Arial" w:hAnsi="Arial" w:cs="Arial"/>
          <w:sz w:val="22"/>
          <w:szCs w:val="22"/>
        </w:rPr>
        <w:t>)</w:t>
      </w:r>
      <w:r w:rsidRPr="0089775B">
        <w:rPr>
          <w:rFonts w:ascii="Arial" w:hAnsi="Arial" w:cs="Arial"/>
          <w:sz w:val="22"/>
          <w:szCs w:val="22"/>
        </w:rPr>
        <w:t xml:space="preserve">, </w:t>
      </w:r>
      <w:r w:rsidR="00AF74B9">
        <w:rPr>
          <w:rFonts w:ascii="Arial" w:hAnsi="Arial" w:cs="Arial"/>
          <w:sz w:val="22"/>
          <w:szCs w:val="22"/>
        </w:rPr>
        <w:t>è in calo dell’</w:t>
      </w:r>
      <w:r w:rsidRPr="0089775B">
        <w:rPr>
          <w:rFonts w:ascii="Arial" w:hAnsi="Arial" w:cs="Arial"/>
          <w:sz w:val="22"/>
          <w:szCs w:val="22"/>
        </w:rPr>
        <w:t>8,6% sul 2019, che diventa -14,7% nelle Isole</w:t>
      </w:r>
      <w:r w:rsidR="00AF74B9">
        <w:rPr>
          <w:rFonts w:ascii="Arial" w:hAnsi="Arial" w:cs="Arial"/>
          <w:sz w:val="22"/>
          <w:szCs w:val="22"/>
        </w:rPr>
        <w:t>;</w:t>
      </w:r>
      <w:r w:rsidRPr="0089775B">
        <w:rPr>
          <w:rFonts w:ascii="Arial" w:hAnsi="Arial" w:cs="Arial"/>
          <w:sz w:val="22"/>
          <w:szCs w:val="22"/>
        </w:rPr>
        <w:t xml:space="preserve"> </w:t>
      </w:r>
      <w:r w:rsidR="00AF74B9">
        <w:rPr>
          <w:rFonts w:ascii="Arial" w:hAnsi="Arial" w:cs="Arial"/>
          <w:sz w:val="22"/>
          <w:szCs w:val="22"/>
        </w:rPr>
        <w:t xml:space="preserve">quello relativo a </w:t>
      </w:r>
      <w:r w:rsidRPr="0089775B">
        <w:rPr>
          <w:rFonts w:ascii="Arial" w:hAnsi="Arial" w:cs="Arial"/>
          <w:sz w:val="22"/>
          <w:szCs w:val="22"/>
        </w:rPr>
        <w:t>Mobili, articoli e servizi per la casa (4,5%, 104 euro mensili</w:t>
      </w:r>
      <w:r w:rsidR="00FE20BC">
        <w:rPr>
          <w:rFonts w:ascii="Arial" w:hAnsi="Arial" w:cs="Arial"/>
          <w:sz w:val="22"/>
          <w:szCs w:val="22"/>
        </w:rPr>
        <w:t>)</w:t>
      </w:r>
      <w:r w:rsidR="00AF74B9">
        <w:rPr>
          <w:rFonts w:ascii="Arial" w:hAnsi="Arial" w:cs="Arial"/>
          <w:sz w:val="22"/>
          <w:szCs w:val="22"/>
        </w:rPr>
        <w:t xml:space="preserve"> scende</w:t>
      </w:r>
      <w:r w:rsidRPr="0089775B">
        <w:rPr>
          <w:rFonts w:ascii="Arial" w:hAnsi="Arial" w:cs="Arial"/>
          <w:sz w:val="22"/>
          <w:szCs w:val="22"/>
        </w:rPr>
        <w:t xml:space="preserve"> del 5,7% rispetto all’anno precedente, soprattutto nel Sud </w:t>
      </w:r>
      <w:r w:rsidR="00AF74B9">
        <w:rPr>
          <w:rFonts w:ascii="Arial" w:hAnsi="Arial" w:cs="Arial"/>
          <w:sz w:val="22"/>
          <w:szCs w:val="22"/>
        </w:rPr>
        <w:t>(-</w:t>
      </w:r>
      <w:r w:rsidRPr="0089775B">
        <w:rPr>
          <w:rFonts w:ascii="Arial" w:hAnsi="Arial" w:cs="Arial"/>
          <w:sz w:val="22"/>
          <w:szCs w:val="22"/>
        </w:rPr>
        <w:t>11,8%</w:t>
      </w:r>
      <w:r w:rsidR="00AF74B9">
        <w:rPr>
          <w:rFonts w:ascii="Arial" w:hAnsi="Arial" w:cs="Arial"/>
          <w:sz w:val="22"/>
          <w:szCs w:val="22"/>
        </w:rPr>
        <w:t>)</w:t>
      </w:r>
      <w:r w:rsidRPr="0089775B">
        <w:rPr>
          <w:rFonts w:ascii="Arial" w:hAnsi="Arial" w:cs="Arial"/>
          <w:sz w:val="22"/>
          <w:szCs w:val="22"/>
        </w:rPr>
        <w:t>.</w:t>
      </w:r>
      <w:r>
        <w:rPr>
          <w:rFonts w:ascii="Arial" w:hAnsi="Arial" w:cs="Arial"/>
          <w:sz w:val="22"/>
          <w:szCs w:val="22"/>
        </w:rPr>
        <w:t xml:space="preserve"> </w:t>
      </w:r>
      <w:r w:rsidRPr="0089775B">
        <w:rPr>
          <w:rFonts w:ascii="Arial" w:hAnsi="Arial" w:cs="Arial"/>
          <w:sz w:val="22"/>
          <w:szCs w:val="22"/>
        </w:rPr>
        <w:t xml:space="preserve">Infine, in calo anche i due capitoli il cui peso sulla spesa complessiva si ferma sotto </w:t>
      </w:r>
      <w:r w:rsidR="00AF74B9">
        <w:rPr>
          <w:rFonts w:ascii="Arial" w:hAnsi="Arial" w:cs="Arial"/>
          <w:sz w:val="22"/>
          <w:szCs w:val="22"/>
        </w:rPr>
        <w:t>i</w:t>
      </w:r>
      <w:r w:rsidRPr="0089775B">
        <w:rPr>
          <w:rFonts w:ascii="Arial" w:hAnsi="Arial" w:cs="Arial"/>
          <w:sz w:val="22"/>
          <w:szCs w:val="22"/>
        </w:rPr>
        <w:t>l 2%: Bevande alcoliche e tabacchi (43 euro mensili</w:t>
      </w:r>
      <w:r w:rsidR="00004548">
        <w:rPr>
          <w:rFonts w:ascii="Arial" w:hAnsi="Arial" w:cs="Arial"/>
          <w:sz w:val="22"/>
          <w:szCs w:val="22"/>
        </w:rPr>
        <w:t>)</w:t>
      </w:r>
      <w:r w:rsidRPr="0089775B">
        <w:rPr>
          <w:rFonts w:ascii="Arial" w:hAnsi="Arial" w:cs="Arial"/>
          <w:sz w:val="22"/>
          <w:szCs w:val="22"/>
        </w:rPr>
        <w:t xml:space="preserve"> -7,7% sul 2019 e Istruzione (14 euro al mese</w:t>
      </w:r>
      <w:r w:rsidR="00004548">
        <w:rPr>
          <w:rFonts w:ascii="Arial" w:hAnsi="Arial" w:cs="Arial"/>
          <w:sz w:val="22"/>
          <w:szCs w:val="22"/>
        </w:rPr>
        <w:t>)</w:t>
      </w:r>
      <w:r w:rsidRPr="0089775B">
        <w:rPr>
          <w:rFonts w:ascii="Arial" w:hAnsi="Arial" w:cs="Arial"/>
          <w:sz w:val="22"/>
          <w:szCs w:val="22"/>
        </w:rPr>
        <w:t xml:space="preserve"> </w:t>
      </w:r>
      <w:r w:rsidR="00781FE1">
        <w:rPr>
          <w:rFonts w:ascii="Arial" w:hAnsi="Arial" w:cs="Arial"/>
          <w:sz w:val="22"/>
          <w:szCs w:val="22"/>
        </w:rPr>
        <w:br/>
      </w:r>
      <w:r w:rsidR="00AF74B9">
        <w:rPr>
          <w:rFonts w:ascii="Arial" w:hAnsi="Arial" w:cs="Arial"/>
          <w:sz w:val="22"/>
          <w:szCs w:val="22"/>
        </w:rPr>
        <w:t>-</w:t>
      </w:r>
      <w:r w:rsidRPr="0089775B">
        <w:rPr>
          <w:rFonts w:ascii="Arial" w:hAnsi="Arial" w:cs="Arial"/>
          <w:sz w:val="22"/>
          <w:szCs w:val="22"/>
        </w:rPr>
        <w:t>13,9% rispetto al 2019.</w:t>
      </w:r>
      <w:r w:rsidR="00EA589C">
        <w:rPr>
          <w:rFonts w:ascii="Arial" w:hAnsi="Arial" w:cs="Arial"/>
          <w:sz w:val="22"/>
          <w:szCs w:val="22"/>
        </w:rPr>
        <w:t xml:space="preserve"> </w:t>
      </w:r>
    </w:p>
    <w:p w14:paraId="4E27BA2C" w14:textId="48A3DFF9" w:rsidR="004C365C" w:rsidRDefault="00EC36D2" w:rsidP="00E11F98">
      <w:pPr>
        <w:autoSpaceDE w:val="0"/>
        <w:autoSpaceDN w:val="0"/>
        <w:adjustRightInd w:val="0"/>
        <w:spacing w:before="140" w:after="120"/>
        <w:jc w:val="both"/>
        <w:rPr>
          <w:rFonts w:ascii="Arial" w:hAnsi="Arial" w:cs="Arial"/>
          <w:sz w:val="22"/>
          <w:szCs w:val="22"/>
        </w:rPr>
      </w:pPr>
      <w:r>
        <w:rPr>
          <w:rFonts w:ascii="Arial" w:hAnsi="Arial" w:cs="Arial"/>
          <w:sz w:val="22"/>
          <w:szCs w:val="22"/>
        </w:rPr>
        <w:t>Nel</w:t>
      </w:r>
      <w:r w:rsidR="004C365C">
        <w:rPr>
          <w:rFonts w:ascii="Arial" w:hAnsi="Arial" w:cs="Arial"/>
          <w:sz w:val="22"/>
          <w:szCs w:val="22"/>
        </w:rPr>
        <w:t xml:space="preserve"> quadro di stabilità della spesa delle</w:t>
      </w:r>
      <w:r w:rsidR="004C365C" w:rsidRPr="00A061A2">
        <w:rPr>
          <w:rFonts w:ascii="Arial" w:hAnsi="Arial" w:cs="Arial"/>
          <w:sz w:val="22"/>
          <w:szCs w:val="22"/>
        </w:rPr>
        <w:t xml:space="preserve"> famiglie </w:t>
      </w:r>
      <w:r w:rsidR="004C365C">
        <w:rPr>
          <w:rFonts w:ascii="Arial" w:hAnsi="Arial" w:cs="Arial"/>
          <w:sz w:val="22"/>
          <w:szCs w:val="22"/>
        </w:rPr>
        <w:t>per</w:t>
      </w:r>
      <w:r w:rsidR="004C365C" w:rsidRPr="00A061A2">
        <w:rPr>
          <w:rFonts w:ascii="Arial" w:hAnsi="Arial" w:cs="Arial"/>
          <w:sz w:val="22"/>
          <w:szCs w:val="22"/>
        </w:rPr>
        <w:t xml:space="preserve"> Alimentari e bevande analcoliche</w:t>
      </w:r>
      <w:r w:rsidR="004C365C">
        <w:rPr>
          <w:rFonts w:ascii="Arial" w:hAnsi="Arial" w:cs="Arial"/>
          <w:sz w:val="22"/>
          <w:szCs w:val="22"/>
        </w:rPr>
        <w:t xml:space="preserve">, </w:t>
      </w:r>
      <w:r>
        <w:rPr>
          <w:rFonts w:ascii="Arial" w:hAnsi="Arial" w:cs="Arial"/>
          <w:sz w:val="22"/>
          <w:szCs w:val="22"/>
        </w:rPr>
        <w:t>aumenta in misura ampia</w:t>
      </w:r>
      <w:r w:rsidR="004C365C" w:rsidRPr="00967A97">
        <w:rPr>
          <w:rFonts w:ascii="Arial" w:hAnsi="Arial" w:cs="Arial"/>
          <w:sz w:val="22"/>
          <w:szCs w:val="22"/>
        </w:rPr>
        <w:t xml:space="preserve"> </w:t>
      </w:r>
      <w:r>
        <w:rPr>
          <w:rFonts w:ascii="Arial" w:hAnsi="Arial" w:cs="Arial"/>
          <w:sz w:val="22"/>
          <w:szCs w:val="22"/>
        </w:rPr>
        <w:t xml:space="preserve">quella </w:t>
      </w:r>
      <w:r w:rsidR="004C365C" w:rsidRPr="00967A97">
        <w:rPr>
          <w:rFonts w:ascii="Arial" w:hAnsi="Arial" w:cs="Arial"/>
          <w:sz w:val="22"/>
          <w:szCs w:val="22"/>
        </w:rPr>
        <w:t xml:space="preserve">per </w:t>
      </w:r>
      <w:r w:rsidR="004C365C">
        <w:rPr>
          <w:rFonts w:ascii="Arial" w:hAnsi="Arial" w:cs="Arial"/>
          <w:sz w:val="22"/>
          <w:szCs w:val="22"/>
        </w:rPr>
        <w:t>latte, formaggi e uova (62 euro al mese</w:t>
      </w:r>
      <w:r w:rsidR="001B7353">
        <w:rPr>
          <w:rFonts w:ascii="Arial" w:hAnsi="Arial" w:cs="Arial"/>
          <w:sz w:val="22"/>
          <w:szCs w:val="22"/>
        </w:rPr>
        <w:t>;</w:t>
      </w:r>
      <w:r w:rsidR="004C365C">
        <w:rPr>
          <w:rFonts w:ascii="Arial" w:hAnsi="Arial" w:cs="Arial"/>
          <w:sz w:val="22"/>
          <w:szCs w:val="22"/>
        </w:rPr>
        <w:t xml:space="preserve"> +5,1% rispetto al 2019) e per carni</w:t>
      </w:r>
      <w:r w:rsidR="004C365C" w:rsidRPr="00967A97">
        <w:rPr>
          <w:rFonts w:ascii="Arial" w:hAnsi="Arial" w:cs="Arial"/>
          <w:sz w:val="22"/>
          <w:szCs w:val="22"/>
        </w:rPr>
        <w:t xml:space="preserve"> (</w:t>
      </w:r>
      <w:r w:rsidR="004C365C">
        <w:rPr>
          <w:rFonts w:ascii="Arial" w:hAnsi="Arial" w:cs="Arial"/>
          <w:sz w:val="22"/>
          <w:szCs w:val="22"/>
        </w:rPr>
        <w:t>102</w:t>
      </w:r>
      <w:r w:rsidR="004C365C" w:rsidRPr="00967A97">
        <w:rPr>
          <w:rFonts w:ascii="Arial" w:hAnsi="Arial" w:cs="Arial"/>
          <w:sz w:val="22"/>
          <w:szCs w:val="22"/>
        </w:rPr>
        <w:t xml:space="preserve"> euro mensili</w:t>
      </w:r>
      <w:r w:rsidR="001B7353">
        <w:rPr>
          <w:rFonts w:ascii="Arial" w:hAnsi="Arial" w:cs="Arial"/>
          <w:sz w:val="22"/>
          <w:szCs w:val="22"/>
        </w:rPr>
        <w:t>;</w:t>
      </w:r>
      <w:r w:rsidR="004C365C" w:rsidRPr="00967A97">
        <w:rPr>
          <w:rFonts w:ascii="Arial" w:hAnsi="Arial" w:cs="Arial"/>
          <w:sz w:val="22"/>
          <w:szCs w:val="22"/>
        </w:rPr>
        <w:t xml:space="preserve"> +</w:t>
      </w:r>
      <w:r w:rsidR="004C365C">
        <w:rPr>
          <w:rFonts w:ascii="Arial" w:hAnsi="Arial" w:cs="Arial"/>
          <w:sz w:val="22"/>
          <w:szCs w:val="22"/>
        </w:rPr>
        <w:t>3,4</w:t>
      </w:r>
      <w:r w:rsidR="004C365C" w:rsidRPr="00967A97">
        <w:rPr>
          <w:rFonts w:ascii="Arial" w:hAnsi="Arial" w:cs="Arial"/>
          <w:sz w:val="22"/>
          <w:szCs w:val="22"/>
        </w:rPr>
        <w:t>%</w:t>
      </w:r>
      <w:r w:rsidR="004C365C">
        <w:rPr>
          <w:rFonts w:ascii="Arial" w:hAnsi="Arial" w:cs="Arial"/>
          <w:sz w:val="22"/>
          <w:szCs w:val="22"/>
        </w:rPr>
        <w:t xml:space="preserve"> rispetto all’anno precedente). </w:t>
      </w:r>
      <w:r w:rsidR="00C42F91">
        <w:rPr>
          <w:rFonts w:ascii="Arial" w:hAnsi="Arial" w:cs="Arial"/>
          <w:sz w:val="22"/>
          <w:szCs w:val="22"/>
        </w:rPr>
        <w:t xml:space="preserve">In forte riduzione </w:t>
      </w:r>
      <w:r w:rsidR="004C365C">
        <w:rPr>
          <w:rFonts w:ascii="Arial" w:hAnsi="Arial" w:cs="Arial"/>
          <w:sz w:val="22"/>
          <w:szCs w:val="22"/>
        </w:rPr>
        <w:t>invece l</w:t>
      </w:r>
      <w:r w:rsidR="00C42F91">
        <w:rPr>
          <w:rFonts w:ascii="Arial" w:hAnsi="Arial" w:cs="Arial"/>
          <w:sz w:val="22"/>
          <w:szCs w:val="22"/>
        </w:rPr>
        <w:t>e</w:t>
      </w:r>
      <w:r w:rsidR="004C365C">
        <w:rPr>
          <w:rFonts w:ascii="Arial" w:hAnsi="Arial" w:cs="Arial"/>
          <w:sz w:val="22"/>
          <w:szCs w:val="22"/>
        </w:rPr>
        <w:t xml:space="preserve"> spes</w:t>
      </w:r>
      <w:r w:rsidR="00C42F91">
        <w:rPr>
          <w:rFonts w:ascii="Arial" w:hAnsi="Arial" w:cs="Arial"/>
          <w:sz w:val="22"/>
          <w:szCs w:val="22"/>
        </w:rPr>
        <w:t>e</w:t>
      </w:r>
      <w:r w:rsidR="004C365C">
        <w:rPr>
          <w:rFonts w:ascii="Arial" w:hAnsi="Arial" w:cs="Arial"/>
          <w:sz w:val="22"/>
          <w:szCs w:val="22"/>
        </w:rPr>
        <w:t xml:space="preserve"> per oli e grassi (15 euro mensili</w:t>
      </w:r>
      <w:r w:rsidR="001B7353">
        <w:rPr>
          <w:rFonts w:ascii="Arial" w:hAnsi="Arial" w:cs="Arial"/>
          <w:sz w:val="22"/>
          <w:szCs w:val="22"/>
        </w:rPr>
        <w:t>;</w:t>
      </w:r>
      <w:r w:rsidR="004C365C">
        <w:rPr>
          <w:rFonts w:ascii="Arial" w:hAnsi="Arial" w:cs="Arial"/>
          <w:sz w:val="22"/>
          <w:szCs w:val="22"/>
        </w:rPr>
        <w:t xml:space="preserve"> -7,0% rispetto al 2019), per z</w:t>
      </w:r>
      <w:r w:rsidR="004C365C" w:rsidRPr="00724C9D">
        <w:rPr>
          <w:rFonts w:ascii="Arial" w:hAnsi="Arial" w:cs="Arial"/>
          <w:sz w:val="22"/>
          <w:szCs w:val="22"/>
        </w:rPr>
        <w:t>ucchero, confetture, miele, cioccolato e dolciumi</w:t>
      </w:r>
      <w:r w:rsidR="004C365C">
        <w:rPr>
          <w:rFonts w:ascii="Arial" w:hAnsi="Arial" w:cs="Arial"/>
          <w:sz w:val="22"/>
          <w:szCs w:val="22"/>
        </w:rPr>
        <w:t xml:space="preserve"> (18 euro al mese</w:t>
      </w:r>
      <w:r w:rsidR="001B7353">
        <w:rPr>
          <w:rFonts w:ascii="Arial" w:hAnsi="Arial" w:cs="Arial"/>
          <w:sz w:val="22"/>
          <w:szCs w:val="22"/>
        </w:rPr>
        <w:t>;</w:t>
      </w:r>
      <w:r w:rsidR="004C365C">
        <w:rPr>
          <w:rFonts w:ascii="Arial" w:hAnsi="Arial" w:cs="Arial"/>
          <w:sz w:val="22"/>
          <w:szCs w:val="22"/>
        </w:rPr>
        <w:t xml:space="preserve"> -6,4% sul 2019) e per c</w:t>
      </w:r>
      <w:r w:rsidR="004C365C" w:rsidRPr="009E1A16">
        <w:rPr>
          <w:rFonts w:ascii="Arial" w:hAnsi="Arial" w:cs="Arial"/>
          <w:sz w:val="22"/>
          <w:szCs w:val="22"/>
        </w:rPr>
        <w:t>affè, tè e cacao</w:t>
      </w:r>
      <w:r w:rsidR="004C365C">
        <w:rPr>
          <w:rFonts w:ascii="Arial" w:hAnsi="Arial" w:cs="Arial"/>
          <w:sz w:val="22"/>
          <w:szCs w:val="22"/>
        </w:rPr>
        <w:t xml:space="preserve"> (14 euro mensili; </w:t>
      </w:r>
      <w:r w:rsidR="004C365C" w:rsidRPr="00F128A4">
        <w:rPr>
          <w:rFonts w:ascii="Arial" w:hAnsi="Arial" w:cs="Arial"/>
          <w:sz w:val="22"/>
          <w:szCs w:val="22"/>
        </w:rPr>
        <w:t>-5,</w:t>
      </w:r>
      <w:r w:rsidR="00D74B3A" w:rsidRPr="00F128A4">
        <w:rPr>
          <w:rFonts w:ascii="Arial" w:hAnsi="Arial" w:cs="Arial"/>
          <w:sz w:val="22"/>
          <w:szCs w:val="22"/>
        </w:rPr>
        <w:t>1</w:t>
      </w:r>
      <w:r w:rsidR="004C365C" w:rsidRPr="00F128A4">
        <w:rPr>
          <w:rFonts w:ascii="Arial" w:hAnsi="Arial" w:cs="Arial"/>
          <w:sz w:val="22"/>
          <w:szCs w:val="22"/>
        </w:rPr>
        <w:t>%</w:t>
      </w:r>
      <w:r w:rsidR="004C365C">
        <w:rPr>
          <w:rFonts w:ascii="Arial" w:hAnsi="Arial" w:cs="Arial"/>
          <w:sz w:val="22"/>
          <w:szCs w:val="22"/>
        </w:rPr>
        <w:t xml:space="preserve"> rispetto all’anno precedente), voci che pesano comunque meno dell’1% sulla spesa totale.</w:t>
      </w:r>
    </w:p>
    <w:p w14:paraId="2241D962" w14:textId="13ACB8C4" w:rsidR="002A12AC" w:rsidRDefault="004C365C" w:rsidP="00F615E2">
      <w:pPr>
        <w:autoSpaceDE w:val="0"/>
        <w:autoSpaceDN w:val="0"/>
        <w:adjustRightInd w:val="0"/>
        <w:spacing w:after="120"/>
        <w:jc w:val="both"/>
        <w:rPr>
          <w:rFonts w:ascii="Arial" w:hAnsi="Arial" w:cs="Arial"/>
          <w:sz w:val="22"/>
          <w:szCs w:val="22"/>
        </w:rPr>
      </w:pPr>
      <w:r w:rsidRPr="004A42E0">
        <w:rPr>
          <w:rFonts w:ascii="Arial" w:hAnsi="Arial" w:cs="Arial"/>
          <w:sz w:val="22"/>
          <w:szCs w:val="22"/>
        </w:rPr>
        <w:t xml:space="preserve">Le stime preliminari del primo trimestre 2021 mostrano che le misure di contenimento </w:t>
      </w:r>
      <w:r w:rsidR="00C42F91">
        <w:rPr>
          <w:rFonts w:ascii="Arial" w:hAnsi="Arial" w:cs="Arial"/>
          <w:sz w:val="22"/>
          <w:szCs w:val="22"/>
        </w:rPr>
        <w:t>a</w:t>
      </w:r>
      <w:r w:rsidR="00C42F91" w:rsidRPr="004A42E0">
        <w:rPr>
          <w:rFonts w:ascii="Arial" w:hAnsi="Arial" w:cs="Arial"/>
          <w:sz w:val="22"/>
          <w:szCs w:val="22"/>
        </w:rPr>
        <w:t xml:space="preserve">lla </w:t>
      </w:r>
      <w:r w:rsidRPr="004A42E0">
        <w:rPr>
          <w:rFonts w:ascii="Arial" w:hAnsi="Arial" w:cs="Arial"/>
          <w:sz w:val="22"/>
          <w:szCs w:val="22"/>
        </w:rPr>
        <w:t xml:space="preserve">diffusione del Covid-19 hanno prodotto un </w:t>
      </w:r>
      <w:r>
        <w:rPr>
          <w:rFonts w:ascii="Arial" w:hAnsi="Arial" w:cs="Arial"/>
          <w:sz w:val="22"/>
          <w:szCs w:val="22"/>
        </w:rPr>
        <w:t xml:space="preserve">ulteriore </w:t>
      </w:r>
      <w:r w:rsidRPr="004A42E0">
        <w:rPr>
          <w:rFonts w:ascii="Arial" w:hAnsi="Arial" w:cs="Arial"/>
          <w:sz w:val="22"/>
          <w:szCs w:val="22"/>
        </w:rPr>
        <w:t xml:space="preserve">calo di circa il </w:t>
      </w:r>
      <w:r w:rsidRPr="00941266">
        <w:rPr>
          <w:rFonts w:ascii="Arial" w:hAnsi="Arial" w:cs="Arial"/>
          <w:sz w:val="22"/>
          <w:szCs w:val="22"/>
        </w:rPr>
        <w:t xml:space="preserve">3,4% </w:t>
      </w:r>
      <w:r w:rsidRPr="004A42E0">
        <w:rPr>
          <w:rFonts w:ascii="Arial" w:hAnsi="Arial" w:cs="Arial"/>
          <w:sz w:val="22"/>
          <w:szCs w:val="22"/>
        </w:rPr>
        <w:t xml:space="preserve">della spesa media mensile rispetto allo stesso periodo dell’anno precedente; in particolare, la riduzione dell’offerta e della domanda commerciale al dettaglio ha determinato una flessione delle spese diverse da quelle per prodotti alimentari e per </w:t>
      </w:r>
      <w:r w:rsidRPr="00941266">
        <w:rPr>
          <w:rFonts w:ascii="Arial" w:hAnsi="Arial" w:cs="Arial"/>
          <w:sz w:val="22"/>
          <w:szCs w:val="22"/>
        </w:rPr>
        <w:t xml:space="preserve">l’abitazione del 7,5% rispetto </w:t>
      </w:r>
      <w:r w:rsidRPr="004A42E0">
        <w:rPr>
          <w:rFonts w:ascii="Arial" w:hAnsi="Arial" w:cs="Arial"/>
          <w:sz w:val="22"/>
          <w:szCs w:val="22"/>
        </w:rPr>
        <w:t xml:space="preserve">al primo trimestre 2020. </w:t>
      </w:r>
    </w:p>
    <w:p w14:paraId="0C0B8DE5" w14:textId="77777777" w:rsidR="004C365C" w:rsidRPr="00EA589C" w:rsidRDefault="004C365C" w:rsidP="00F64C4D">
      <w:pPr>
        <w:autoSpaceDE w:val="0"/>
        <w:autoSpaceDN w:val="0"/>
        <w:adjustRightInd w:val="0"/>
        <w:spacing w:after="120"/>
        <w:jc w:val="both"/>
        <w:rPr>
          <w:rFonts w:ascii="Arial" w:hAnsi="Arial" w:cs="Arial"/>
          <w:sz w:val="22"/>
          <w:szCs w:val="22"/>
        </w:rPr>
      </w:pPr>
    </w:p>
    <w:p w14:paraId="2184D45E" w14:textId="0E4992D2" w:rsidR="00F64C4D" w:rsidRPr="00ED5CB0" w:rsidRDefault="00776459" w:rsidP="00F64C4D">
      <w:pPr>
        <w:autoSpaceDE w:val="0"/>
        <w:autoSpaceDN w:val="0"/>
        <w:adjustRightInd w:val="0"/>
        <w:spacing w:after="120"/>
        <w:jc w:val="both"/>
        <w:rPr>
          <w:rFonts w:ascii="Arial" w:hAnsi="Arial" w:cs="Arial"/>
          <w:b/>
          <w:color w:val="1F497D"/>
          <w:sz w:val="26"/>
          <w:szCs w:val="26"/>
        </w:rPr>
      </w:pPr>
      <w:r>
        <w:rPr>
          <w:rFonts w:ascii="Arial" w:hAnsi="Arial" w:cs="Arial"/>
          <w:b/>
          <w:color w:val="1F497D"/>
          <w:sz w:val="26"/>
          <w:szCs w:val="26"/>
        </w:rPr>
        <w:t>I</w:t>
      </w:r>
      <w:r w:rsidR="00F64C4D" w:rsidRPr="00ED5CB0">
        <w:rPr>
          <w:rFonts w:ascii="Arial" w:hAnsi="Arial" w:cs="Arial"/>
          <w:b/>
          <w:color w:val="1F497D"/>
          <w:sz w:val="26"/>
          <w:szCs w:val="26"/>
        </w:rPr>
        <w:t xml:space="preserve"> divari territoriali </w:t>
      </w:r>
      <w:r>
        <w:rPr>
          <w:rFonts w:ascii="Arial" w:hAnsi="Arial" w:cs="Arial"/>
          <w:b/>
          <w:color w:val="1F497D"/>
          <w:sz w:val="26"/>
          <w:szCs w:val="26"/>
        </w:rPr>
        <w:t xml:space="preserve">restano ampi ma si riducono per il </w:t>
      </w:r>
      <w:r w:rsidR="00A62E07">
        <w:rPr>
          <w:rFonts w:ascii="Arial" w:hAnsi="Arial" w:cs="Arial"/>
          <w:b/>
          <w:color w:val="1F497D"/>
          <w:sz w:val="26"/>
          <w:szCs w:val="26"/>
        </w:rPr>
        <w:t>calo più ampio del Nord</w:t>
      </w:r>
    </w:p>
    <w:p w14:paraId="698CFC27" w14:textId="562ECBDC" w:rsidR="008B6FDB" w:rsidRDefault="009B07B1" w:rsidP="00683F20">
      <w:pPr>
        <w:autoSpaceDE w:val="0"/>
        <w:autoSpaceDN w:val="0"/>
        <w:adjustRightInd w:val="0"/>
        <w:spacing w:after="120"/>
        <w:jc w:val="both"/>
        <w:rPr>
          <w:rFonts w:ascii="Arial" w:hAnsi="Arial" w:cs="Arial"/>
          <w:sz w:val="22"/>
          <w:szCs w:val="22"/>
        </w:rPr>
      </w:pPr>
      <w:r w:rsidRPr="009B07B1">
        <w:rPr>
          <w:rFonts w:ascii="Arial" w:hAnsi="Arial" w:cs="Arial"/>
          <w:sz w:val="22"/>
          <w:szCs w:val="22"/>
        </w:rPr>
        <w:t xml:space="preserve">Il calo delle spese delle famiglie è diffuso su tutto il territorio nazionale, ma </w:t>
      </w:r>
      <w:r w:rsidR="00776459">
        <w:rPr>
          <w:rFonts w:ascii="Arial" w:hAnsi="Arial" w:cs="Arial"/>
          <w:sz w:val="22"/>
          <w:szCs w:val="22"/>
        </w:rPr>
        <w:t xml:space="preserve">la sua articolazione sembra risentire </w:t>
      </w:r>
      <w:r w:rsidR="00683F20">
        <w:rPr>
          <w:rFonts w:ascii="Arial" w:hAnsi="Arial" w:cs="Arial"/>
          <w:sz w:val="22"/>
          <w:szCs w:val="22"/>
        </w:rPr>
        <w:t>del</w:t>
      </w:r>
      <w:r w:rsidR="00683F20" w:rsidRPr="009B07B1">
        <w:rPr>
          <w:rFonts w:ascii="Arial" w:hAnsi="Arial" w:cs="Arial"/>
          <w:sz w:val="22"/>
          <w:szCs w:val="22"/>
        </w:rPr>
        <w:t>l</w:t>
      </w:r>
      <w:r w:rsidR="00683F20">
        <w:rPr>
          <w:rFonts w:ascii="Arial" w:hAnsi="Arial" w:cs="Arial"/>
          <w:sz w:val="22"/>
          <w:szCs w:val="22"/>
        </w:rPr>
        <w:t>e</w:t>
      </w:r>
      <w:r w:rsidR="00683F20" w:rsidRPr="009B07B1">
        <w:rPr>
          <w:rFonts w:ascii="Arial" w:hAnsi="Arial" w:cs="Arial"/>
          <w:sz w:val="22"/>
          <w:szCs w:val="22"/>
        </w:rPr>
        <w:t xml:space="preserve"> </w:t>
      </w:r>
      <w:r w:rsidR="00C42F91">
        <w:rPr>
          <w:rFonts w:ascii="Arial" w:hAnsi="Arial" w:cs="Arial"/>
          <w:sz w:val="22"/>
          <w:szCs w:val="22"/>
        </w:rPr>
        <w:t xml:space="preserve">differenze territoriali nella </w:t>
      </w:r>
      <w:r w:rsidRPr="009B07B1">
        <w:rPr>
          <w:rFonts w:ascii="Arial" w:hAnsi="Arial" w:cs="Arial"/>
          <w:sz w:val="22"/>
          <w:szCs w:val="22"/>
        </w:rPr>
        <w:t>diffusione del Covid</w:t>
      </w:r>
      <w:r w:rsidR="00EA589C">
        <w:rPr>
          <w:rFonts w:ascii="Arial" w:hAnsi="Arial" w:cs="Arial"/>
          <w:sz w:val="22"/>
          <w:szCs w:val="22"/>
        </w:rPr>
        <w:t>-</w:t>
      </w:r>
      <w:r w:rsidRPr="009B07B1">
        <w:rPr>
          <w:rFonts w:ascii="Arial" w:hAnsi="Arial" w:cs="Arial"/>
          <w:sz w:val="22"/>
          <w:szCs w:val="22"/>
        </w:rPr>
        <w:t xml:space="preserve">19 </w:t>
      </w:r>
      <w:r w:rsidR="00C42F91">
        <w:rPr>
          <w:rFonts w:ascii="Arial" w:hAnsi="Arial" w:cs="Arial"/>
          <w:sz w:val="22"/>
          <w:szCs w:val="22"/>
        </w:rPr>
        <w:t>e n</w:t>
      </w:r>
      <w:r w:rsidR="00776459">
        <w:rPr>
          <w:rFonts w:ascii="Arial" w:hAnsi="Arial" w:cs="Arial"/>
          <w:sz w:val="22"/>
          <w:szCs w:val="22"/>
        </w:rPr>
        <w:t>elle misure di contrasto adottate</w:t>
      </w:r>
      <w:r w:rsidRPr="009B07B1">
        <w:rPr>
          <w:rFonts w:ascii="Arial" w:hAnsi="Arial" w:cs="Arial"/>
          <w:sz w:val="22"/>
          <w:szCs w:val="22"/>
        </w:rPr>
        <w:t xml:space="preserve">: </w:t>
      </w:r>
      <w:r w:rsidR="00C42F91">
        <w:rPr>
          <w:rFonts w:ascii="Arial" w:hAnsi="Arial" w:cs="Arial"/>
          <w:sz w:val="22"/>
          <w:szCs w:val="22"/>
        </w:rPr>
        <w:t xml:space="preserve">è stato </w:t>
      </w:r>
      <w:r w:rsidRPr="009B07B1">
        <w:rPr>
          <w:rFonts w:ascii="Arial" w:hAnsi="Arial" w:cs="Arial"/>
          <w:sz w:val="22"/>
          <w:szCs w:val="22"/>
        </w:rPr>
        <w:t xml:space="preserve">più intenso nel Nord Italia (-10,2% il Nord-ovest e -9,5% il Nord-est), seguito da Centro (-8,8%) e Mezzogiorno (-8,2% il Sud e -5,9% le Isole). </w:t>
      </w:r>
    </w:p>
    <w:p w14:paraId="3984D180" w14:textId="586A1BAA" w:rsidR="00683F20" w:rsidRPr="00781FE1" w:rsidRDefault="00683F20" w:rsidP="00683F20">
      <w:pPr>
        <w:autoSpaceDE w:val="0"/>
        <w:autoSpaceDN w:val="0"/>
        <w:adjustRightInd w:val="0"/>
        <w:spacing w:after="120"/>
        <w:jc w:val="both"/>
        <w:rPr>
          <w:rFonts w:ascii="Arial" w:hAnsi="Arial" w:cs="Arial"/>
          <w:szCs w:val="4"/>
        </w:rPr>
      </w:pPr>
    </w:p>
    <w:p w14:paraId="54154AA5" w14:textId="77777777" w:rsidR="00D0547D" w:rsidRPr="00D467AF" w:rsidRDefault="002D3B4E" w:rsidP="00683F20">
      <w:pPr>
        <w:pStyle w:val="ATitoloTavolaFigura"/>
        <w:keepNext/>
        <w:spacing w:before="0" w:after="0"/>
        <w:ind w:left="0" w:firstLine="0"/>
        <w:rPr>
          <w:rFonts w:ascii="Arial Narrow" w:hAnsi="Arial Narrow"/>
          <w:iCs/>
          <w:noProof/>
          <w:color w:val="1F497D" w:themeColor="text2"/>
          <w:sz w:val="22"/>
          <w:szCs w:val="22"/>
        </w:rPr>
      </w:pPr>
      <w:r w:rsidRPr="00D467AF">
        <w:rPr>
          <w:rFonts w:ascii="Arial Black" w:hAnsi="Arial Black"/>
          <w:b w:val="0"/>
          <w:iCs/>
          <w:noProof/>
          <w:color w:val="1F497D" w:themeColor="text2"/>
          <w:sz w:val="22"/>
          <w:szCs w:val="22"/>
        </w:rPr>
        <w:t xml:space="preserve">FIGURA 1. </w:t>
      </w:r>
      <w:r w:rsidRPr="00D467AF">
        <w:rPr>
          <w:rFonts w:ascii="Arial Narrow" w:hAnsi="Arial Narrow"/>
          <w:iCs/>
          <w:noProof/>
          <w:color w:val="1F497D" w:themeColor="text2"/>
          <w:sz w:val="22"/>
          <w:szCs w:val="22"/>
        </w:rPr>
        <w:t>SPESA MEDIA MENSILE DELLE FAMIGLIE PER RIPARTIZIONE GEOGRAFICA</w:t>
      </w:r>
    </w:p>
    <w:p w14:paraId="7097E307" w14:textId="61E161FC" w:rsidR="002D3B4E" w:rsidRDefault="002D3B4E" w:rsidP="004E692A">
      <w:pPr>
        <w:pStyle w:val="ATitoloTavolaFigura"/>
        <w:keepNext/>
        <w:spacing w:before="0" w:after="240"/>
        <w:ind w:left="0" w:firstLine="0"/>
        <w:rPr>
          <w:rFonts w:ascii="Arial Narrow" w:hAnsi="Arial Narrow"/>
          <w:b w:val="0"/>
          <w:iCs/>
          <w:noProof/>
          <w:color w:val="1F497D" w:themeColor="text2"/>
          <w:sz w:val="22"/>
          <w:szCs w:val="22"/>
        </w:rPr>
      </w:pPr>
      <w:r w:rsidRPr="00D467AF">
        <w:rPr>
          <w:rFonts w:ascii="Arial Narrow" w:hAnsi="Arial Narrow"/>
          <w:b w:val="0"/>
          <w:iCs/>
          <w:noProof/>
          <w:color w:val="1F497D" w:themeColor="text2"/>
          <w:sz w:val="22"/>
          <w:szCs w:val="22"/>
        </w:rPr>
        <w:t>Anni 200</w:t>
      </w:r>
      <w:r w:rsidR="00745D8E" w:rsidRPr="00D467AF">
        <w:rPr>
          <w:rFonts w:ascii="Arial Narrow" w:hAnsi="Arial Narrow"/>
          <w:b w:val="0"/>
          <w:iCs/>
          <w:noProof/>
          <w:color w:val="1F497D" w:themeColor="text2"/>
          <w:sz w:val="22"/>
          <w:szCs w:val="22"/>
        </w:rPr>
        <w:t>8</w:t>
      </w:r>
      <w:r w:rsidRPr="00D467AF">
        <w:rPr>
          <w:rFonts w:ascii="Arial Narrow" w:hAnsi="Arial Narrow"/>
          <w:b w:val="0"/>
          <w:iCs/>
          <w:noProof/>
          <w:color w:val="1F497D" w:themeColor="text2"/>
          <w:sz w:val="22"/>
          <w:szCs w:val="22"/>
        </w:rPr>
        <w:t>-</w:t>
      </w:r>
      <w:r w:rsidR="00C70D65" w:rsidRPr="00D467AF">
        <w:rPr>
          <w:rFonts w:ascii="Arial Narrow" w:hAnsi="Arial Narrow"/>
          <w:b w:val="0"/>
          <w:iCs/>
          <w:noProof/>
          <w:color w:val="1F497D" w:themeColor="text2"/>
          <w:sz w:val="22"/>
          <w:szCs w:val="22"/>
        </w:rPr>
        <w:t>2020</w:t>
      </w:r>
      <w:r w:rsidRPr="00D467AF">
        <w:rPr>
          <w:rFonts w:ascii="Arial Narrow" w:hAnsi="Arial Narrow"/>
          <w:b w:val="0"/>
          <w:iCs/>
          <w:noProof/>
          <w:color w:val="1F497D" w:themeColor="text2"/>
          <w:sz w:val="22"/>
          <w:szCs w:val="22"/>
        </w:rPr>
        <w:t>, valori in euro.</w:t>
      </w:r>
    </w:p>
    <w:p w14:paraId="1E78EC85" w14:textId="04DFD6A6" w:rsidR="008B6FDB" w:rsidRDefault="008B6FDB" w:rsidP="00D0547D">
      <w:pPr>
        <w:pStyle w:val="ATitoloTavolaFigura"/>
        <w:keepNext/>
        <w:spacing w:before="0" w:after="0"/>
        <w:ind w:left="0" w:firstLine="0"/>
        <w:rPr>
          <w:rFonts w:ascii="Arial Narrow" w:hAnsi="Arial Narrow"/>
          <w:b w:val="0"/>
          <w:iCs/>
          <w:noProof/>
          <w:color w:val="1F497D" w:themeColor="text2"/>
          <w:sz w:val="22"/>
          <w:szCs w:val="22"/>
        </w:rPr>
      </w:pPr>
      <w:r>
        <w:rPr>
          <w:noProof/>
        </w:rPr>
        <w:drawing>
          <wp:inline distT="0" distB="0" distL="0" distR="0" wp14:anchorId="1A3A4951" wp14:editId="01D9161F">
            <wp:extent cx="6300000" cy="2160000"/>
            <wp:effectExtent l="0" t="0" r="0" b="0"/>
            <wp:docPr id="8" name="Gra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096D48" w14:textId="69D0A608" w:rsidR="00EA589C" w:rsidRDefault="00EA589C" w:rsidP="00EA589C">
      <w:pPr>
        <w:tabs>
          <w:tab w:val="left" w:pos="8222"/>
        </w:tabs>
        <w:spacing w:after="120"/>
        <w:jc w:val="both"/>
        <w:outlineLvl w:val="0"/>
        <w:rPr>
          <w:rFonts w:ascii="Arial Narrow" w:hAnsi="Arial Narrow"/>
          <w:b/>
          <w:sz w:val="15"/>
          <w:szCs w:val="15"/>
        </w:rPr>
      </w:pPr>
      <w:r>
        <w:rPr>
          <w:rFonts w:ascii="Arial Narrow" w:hAnsi="Arial Narrow"/>
          <w:b/>
          <w:sz w:val="15"/>
          <w:szCs w:val="15"/>
        </w:rPr>
        <w:br w:type="page"/>
      </w:r>
    </w:p>
    <w:p w14:paraId="104BDB74" w14:textId="77777777" w:rsidR="001B7353" w:rsidRDefault="001B7353" w:rsidP="001B7353">
      <w:pPr>
        <w:autoSpaceDE w:val="0"/>
        <w:autoSpaceDN w:val="0"/>
        <w:adjustRightInd w:val="0"/>
        <w:spacing w:after="120"/>
        <w:jc w:val="both"/>
        <w:rPr>
          <w:rFonts w:ascii="Arial" w:hAnsi="Arial" w:cs="Arial"/>
          <w:sz w:val="22"/>
          <w:szCs w:val="22"/>
        </w:rPr>
      </w:pPr>
    </w:p>
    <w:p w14:paraId="798929B3" w14:textId="20979DC7" w:rsidR="001B7353" w:rsidRDefault="001B7353" w:rsidP="001B7353">
      <w:pPr>
        <w:autoSpaceDE w:val="0"/>
        <w:autoSpaceDN w:val="0"/>
        <w:adjustRightInd w:val="0"/>
        <w:spacing w:after="120"/>
        <w:jc w:val="both"/>
        <w:rPr>
          <w:rFonts w:ascii="Arial" w:hAnsi="Arial" w:cs="Arial"/>
          <w:sz w:val="22"/>
          <w:szCs w:val="22"/>
        </w:rPr>
      </w:pPr>
      <w:r>
        <w:rPr>
          <w:rFonts w:ascii="Arial" w:hAnsi="Arial" w:cs="Arial"/>
          <w:sz w:val="22"/>
          <w:szCs w:val="22"/>
        </w:rPr>
        <w:t xml:space="preserve">Di conseguenza, </w:t>
      </w:r>
      <w:r w:rsidR="00C42F91">
        <w:rPr>
          <w:rFonts w:ascii="Arial" w:hAnsi="Arial" w:cs="Arial"/>
          <w:sz w:val="22"/>
          <w:szCs w:val="22"/>
        </w:rPr>
        <w:t>si sono attenuati</w:t>
      </w:r>
      <w:r>
        <w:rPr>
          <w:rFonts w:ascii="Arial" w:hAnsi="Arial" w:cs="Arial"/>
          <w:sz w:val="22"/>
          <w:szCs w:val="22"/>
        </w:rPr>
        <w:t xml:space="preserve"> i noti </w:t>
      </w:r>
      <w:r w:rsidRPr="00E15408">
        <w:rPr>
          <w:rFonts w:ascii="Arial" w:hAnsi="Arial" w:cs="Arial"/>
          <w:sz w:val="22"/>
          <w:szCs w:val="22"/>
        </w:rPr>
        <w:t>divari territoriali</w:t>
      </w:r>
      <w:r w:rsidR="00C42F91">
        <w:rPr>
          <w:rFonts w:ascii="Arial" w:hAnsi="Arial" w:cs="Arial"/>
          <w:sz w:val="22"/>
          <w:szCs w:val="22"/>
        </w:rPr>
        <w:t>,</w:t>
      </w:r>
      <w:r w:rsidRPr="00E15408">
        <w:rPr>
          <w:rFonts w:ascii="Arial" w:hAnsi="Arial" w:cs="Arial"/>
          <w:sz w:val="22"/>
          <w:szCs w:val="22"/>
        </w:rPr>
        <w:t xml:space="preserve"> </w:t>
      </w:r>
      <w:r>
        <w:rPr>
          <w:rFonts w:ascii="Arial" w:hAnsi="Arial" w:cs="Arial"/>
          <w:sz w:val="22"/>
          <w:szCs w:val="22"/>
        </w:rPr>
        <w:t xml:space="preserve">dovuti a un insieme di </w:t>
      </w:r>
      <w:r w:rsidRPr="00E15408">
        <w:rPr>
          <w:rFonts w:ascii="Arial" w:hAnsi="Arial" w:cs="Arial"/>
          <w:sz w:val="22"/>
          <w:szCs w:val="22"/>
        </w:rPr>
        <w:t>fattori di natura economica e sociale (reddit</w:t>
      </w:r>
      <w:r>
        <w:rPr>
          <w:rFonts w:ascii="Arial" w:hAnsi="Arial" w:cs="Arial"/>
          <w:sz w:val="22"/>
          <w:szCs w:val="22"/>
        </w:rPr>
        <w:t>i</w:t>
      </w:r>
      <w:r w:rsidRPr="00E15408">
        <w:rPr>
          <w:rFonts w:ascii="Arial" w:hAnsi="Arial" w:cs="Arial"/>
          <w:sz w:val="22"/>
          <w:szCs w:val="22"/>
        </w:rPr>
        <w:t xml:space="preserve">, </w:t>
      </w:r>
      <w:r>
        <w:rPr>
          <w:rFonts w:ascii="Arial" w:hAnsi="Arial" w:cs="Arial"/>
          <w:sz w:val="22"/>
          <w:szCs w:val="22"/>
        </w:rPr>
        <w:t xml:space="preserve">livello dei </w:t>
      </w:r>
      <w:r w:rsidRPr="00E15408">
        <w:rPr>
          <w:rFonts w:ascii="Arial" w:hAnsi="Arial" w:cs="Arial"/>
          <w:sz w:val="22"/>
          <w:szCs w:val="22"/>
        </w:rPr>
        <w:t>prezzi al consumo, abitudini e comportamenti di spesa).</w:t>
      </w:r>
    </w:p>
    <w:p w14:paraId="4ADF198F" w14:textId="2BF8DBCD" w:rsidR="004C365C" w:rsidRDefault="00E64358" w:rsidP="004C365C">
      <w:pPr>
        <w:autoSpaceDE w:val="0"/>
        <w:autoSpaceDN w:val="0"/>
        <w:adjustRightInd w:val="0"/>
        <w:spacing w:after="120"/>
        <w:jc w:val="both"/>
        <w:rPr>
          <w:rFonts w:ascii="Arial" w:hAnsi="Arial" w:cs="Arial"/>
          <w:sz w:val="22"/>
          <w:szCs w:val="22"/>
        </w:rPr>
      </w:pPr>
      <w:r>
        <w:rPr>
          <w:rFonts w:ascii="Arial" w:hAnsi="Arial" w:cs="Arial"/>
          <w:sz w:val="22"/>
          <w:szCs w:val="22"/>
        </w:rPr>
        <w:t xml:space="preserve">I </w:t>
      </w:r>
      <w:r w:rsidRPr="00D30A9C">
        <w:rPr>
          <w:rFonts w:ascii="Arial" w:hAnsi="Arial" w:cs="Arial"/>
          <w:sz w:val="22"/>
          <w:szCs w:val="22"/>
        </w:rPr>
        <w:t xml:space="preserve">livelli di spesa più elevati, e superiori alla media nazionale, </w:t>
      </w:r>
      <w:r>
        <w:rPr>
          <w:rFonts w:ascii="Arial" w:hAnsi="Arial" w:cs="Arial"/>
          <w:sz w:val="22"/>
          <w:szCs w:val="22"/>
        </w:rPr>
        <w:t>continuano infatti a</w:t>
      </w:r>
      <w:r w:rsidRPr="00D30A9C">
        <w:rPr>
          <w:rFonts w:ascii="Arial" w:hAnsi="Arial" w:cs="Arial"/>
          <w:sz w:val="22"/>
          <w:szCs w:val="22"/>
        </w:rPr>
        <w:t xml:space="preserve"> registra</w:t>
      </w:r>
      <w:r>
        <w:rPr>
          <w:rFonts w:ascii="Arial" w:hAnsi="Arial" w:cs="Arial"/>
          <w:sz w:val="22"/>
          <w:szCs w:val="22"/>
        </w:rPr>
        <w:t>rsi</w:t>
      </w:r>
      <w:r w:rsidRPr="00D30A9C">
        <w:rPr>
          <w:rFonts w:ascii="Arial" w:hAnsi="Arial" w:cs="Arial"/>
          <w:sz w:val="22"/>
          <w:szCs w:val="22"/>
        </w:rPr>
        <w:t xml:space="preserve"> nel Nord-est (2.</w:t>
      </w:r>
      <w:r>
        <w:rPr>
          <w:rFonts w:ascii="Arial" w:hAnsi="Arial" w:cs="Arial"/>
          <w:sz w:val="22"/>
          <w:szCs w:val="22"/>
        </w:rPr>
        <w:t>525</w:t>
      </w:r>
      <w:r w:rsidR="00C42F91">
        <w:rPr>
          <w:rFonts w:ascii="Arial" w:hAnsi="Arial" w:cs="Arial"/>
          <w:sz w:val="22"/>
          <w:szCs w:val="22"/>
        </w:rPr>
        <w:t xml:space="preserve"> euro)</w:t>
      </w:r>
      <w:r>
        <w:rPr>
          <w:rFonts w:ascii="Arial" w:hAnsi="Arial" w:cs="Arial"/>
          <w:sz w:val="22"/>
          <w:szCs w:val="22"/>
        </w:rPr>
        <w:t>,</w:t>
      </w:r>
      <w:r w:rsidRPr="00D30A9C">
        <w:rPr>
          <w:rFonts w:ascii="Arial" w:hAnsi="Arial" w:cs="Arial"/>
          <w:sz w:val="22"/>
          <w:szCs w:val="22"/>
        </w:rPr>
        <w:t xml:space="preserve"> nel Nord-ovest (2.</w:t>
      </w:r>
      <w:r>
        <w:rPr>
          <w:rFonts w:ascii="Arial" w:hAnsi="Arial" w:cs="Arial"/>
          <w:sz w:val="22"/>
          <w:szCs w:val="22"/>
        </w:rPr>
        <w:t>523</w:t>
      </w:r>
      <w:r w:rsidRPr="00D30A9C">
        <w:rPr>
          <w:rFonts w:ascii="Arial" w:hAnsi="Arial" w:cs="Arial"/>
          <w:sz w:val="22"/>
          <w:szCs w:val="22"/>
        </w:rPr>
        <w:t xml:space="preserve"> euro), e nel Centro (2.</w:t>
      </w:r>
      <w:r>
        <w:rPr>
          <w:rFonts w:ascii="Arial" w:hAnsi="Arial" w:cs="Arial"/>
          <w:sz w:val="22"/>
          <w:szCs w:val="22"/>
        </w:rPr>
        <w:t>511 euro)</w:t>
      </w:r>
      <w:r w:rsidR="00E11F98">
        <w:rPr>
          <w:rFonts w:ascii="Arial" w:hAnsi="Arial" w:cs="Arial"/>
          <w:sz w:val="22"/>
          <w:szCs w:val="22"/>
        </w:rPr>
        <w:t>,</w:t>
      </w:r>
      <w:r>
        <w:rPr>
          <w:rFonts w:ascii="Arial" w:hAnsi="Arial" w:cs="Arial"/>
          <w:sz w:val="22"/>
          <w:szCs w:val="22"/>
        </w:rPr>
        <w:t xml:space="preserve"> mentre sono</w:t>
      </w:r>
      <w:r w:rsidRPr="00D30A9C">
        <w:rPr>
          <w:rFonts w:ascii="Arial" w:hAnsi="Arial" w:cs="Arial"/>
          <w:sz w:val="22"/>
          <w:szCs w:val="22"/>
        </w:rPr>
        <w:t xml:space="preserve"> più bassi, e inferiori alla media nazionale, nel Sud (</w:t>
      </w:r>
      <w:r>
        <w:rPr>
          <w:rFonts w:ascii="Arial" w:hAnsi="Arial" w:cs="Arial"/>
          <w:sz w:val="22"/>
          <w:szCs w:val="22"/>
        </w:rPr>
        <w:t>1</w:t>
      </w:r>
      <w:r w:rsidRPr="00D30A9C">
        <w:rPr>
          <w:rFonts w:ascii="Arial" w:hAnsi="Arial" w:cs="Arial"/>
          <w:sz w:val="22"/>
          <w:szCs w:val="22"/>
        </w:rPr>
        <w:t>.</w:t>
      </w:r>
      <w:r>
        <w:rPr>
          <w:rFonts w:ascii="Arial" w:hAnsi="Arial" w:cs="Arial"/>
          <w:sz w:val="22"/>
          <w:szCs w:val="22"/>
        </w:rPr>
        <w:t>89</w:t>
      </w:r>
      <w:r w:rsidRPr="00D30A9C">
        <w:rPr>
          <w:rFonts w:ascii="Arial" w:hAnsi="Arial" w:cs="Arial"/>
          <w:sz w:val="22"/>
          <w:szCs w:val="22"/>
        </w:rPr>
        <w:t>8 euro)</w:t>
      </w:r>
      <w:r>
        <w:rPr>
          <w:rFonts w:ascii="Arial" w:hAnsi="Arial" w:cs="Arial"/>
          <w:sz w:val="22"/>
          <w:szCs w:val="22"/>
        </w:rPr>
        <w:t xml:space="preserve"> e nelle Isole (1.949 euro)</w:t>
      </w:r>
      <w:r w:rsidRPr="00D30A9C">
        <w:rPr>
          <w:rFonts w:ascii="Arial" w:hAnsi="Arial" w:cs="Arial"/>
          <w:sz w:val="22"/>
          <w:szCs w:val="22"/>
        </w:rPr>
        <w:t>.</w:t>
      </w:r>
      <w:r>
        <w:rPr>
          <w:rFonts w:ascii="Arial" w:hAnsi="Arial" w:cs="Arial"/>
          <w:sz w:val="22"/>
          <w:szCs w:val="22"/>
        </w:rPr>
        <w:t xml:space="preserve"> </w:t>
      </w:r>
      <w:r w:rsidR="00E11F98">
        <w:rPr>
          <w:rFonts w:ascii="Arial" w:hAnsi="Arial" w:cs="Arial"/>
          <w:sz w:val="22"/>
          <w:szCs w:val="22"/>
        </w:rPr>
        <w:t>N</w:t>
      </w:r>
      <w:r>
        <w:rPr>
          <w:rFonts w:ascii="Arial" w:hAnsi="Arial" w:cs="Arial"/>
          <w:sz w:val="22"/>
          <w:szCs w:val="22"/>
        </w:rPr>
        <w:t>el 2020</w:t>
      </w:r>
      <w:r w:rsidR="00E11F98">
        <w:rPr>
          <w:rFonts w:ascii="Arial" w:hAnsi="Arial" w:cs="Arial"/>
          <w:sz w:val="22"/>
          <w:szCs w:val="22"/>
        </w:rPr>
        <w:t>,</w:t>
      </w:r>
      <w:r>
        <w:rPr>
          <w:rFonts w:ascii="Arial" w:hAnsi="Arial" w:cs="Arial"/>
          <w:sz w:val="22"/>
          <w:szCs w:val="22"/>
        </w:rPr>
        <w:t xml:space="preserve"> rispetto al Sud, nel Nord-</w:t>
      </w:r>
      <w:r w:rsidRPr="00E15408">
        <w:rPr>
          <w:rFonts w:ascii="Arial" w:hAnsi="Arial" w:cs="Arial"/>
          <w:sz w:val="22"/>
          <w:szCs w:val="22"/>
        </w:rPr>
        <w:t>est si spendono</w:t>
      </w:r>
      <w:r>
        <w:rPr>
          <w:rFonts w:ascii="Arial" w:hAnsi="Arial" w:cs="Arial"/>
          <w:sz w:val="22"/>
          <w:szCs w:val="22"/>
        </w:rPr>
        <w:t>,</w:t>
      </w:r>
      <w:r w:rsidRPr="00E15408">
        <w:rPr>
          <w:rFonts w:ascii="Arial" w:hAnsi="Arial" w:cs="Arial"/>
          <w:sz w:val="22"/>
          <w:szCs w:val="22"/>
        </w:rPr>
        <w:t xml:space="preserve"> </w:t>
      </w:r>
      <w:r>
        <w:rPr>
          <w:rFonts w:ascii="Arial" w:hAnsi="Arial" w:cs="Arial"/>
          <w:sz w:val="22"/>
          <w:szCs w:val="22"/>
        </w:rPr>
        <w:t>in media</w:t>
      </w:r>
      <w:r w:rsidRPr="00E15408">
        <w:rPr>
          <w:rFonts w:ascii="Arial" w:hAnsi="Arial" w:cs="Arial"/>
          <w:sz w:val="22"/>
          <w:szCs w:val="22"/>
        </w:rPr>
        <w:t xml:space="preserve">, circa </w:t>
      </w:r>
      <w:r>
        <w:rPr>
          <w:rFonts w:ascii="Arial" w:hAnsi="Arial" w:cs="Arial"/>
          <w:sz w:val="22"/>
          <w:szCs w:val="22"/>
        </w:rPr>
        <w:t xml:space="preserve">627 euro </w:t>
      </w:r>
      <w:r w:rsidRPr="00E15408">
        <w:rPr>
          <w:rFonts w:ascii="Arial" w:hAnsi="Arial" w:cs="Arial"/>
          <w:sz w:val="22"/>
          <w:szCs w:val="22"/>
        </w:rPr>
        <w:t xml:space="preserve">in più, </w:t>
      </w:r>
      <w:r w:rsidR="00232396">
        <w:rPr>
          <w:rFonts w:ascii="Arial" w:hAnsi="Arial" w:cs="Arial"/>
          <w:sz w:val="22"/>
          <w:szCs w:val="22"/>
        </w:rPr>
        <w:t>una differenza pari al</w:t>
      </w:r>
      <w:r>
        <w:rPr>
          <w:rFonts w:ascii="Arial" w:hAnsi="Arial" w:cs="Arial"/>
          <w:sz w:val="22"/>
          <w:szCs w:val="22"/>
        </w:rPr>
        <w:t xml:space="preserve"> 33</w:t>
      </w:r>
      <w:r w:rsidR="003C67F4">
        <w:rPr>
          <w:rFonts w:ascii="Arial" w:hAnsi="Arial" w:cs="Arial"/>
          <w:sz w:val="22"/>
          <w:szCs w:val="22"/>
        </w:rPr>
        <w:t>,0</w:t>
      </w:r>
      <w:r w:rsidRPr="00E15408">
        <w:rPr>
          <w:rFonts w:ascii="Arial" w:hAnsi="Arial" w:cs="Arial"/>
          <w:sz w:val="22"/>
          <w:szCs w:val="22"/>
        </w:rPr>
        <w:t>%</w:t>
      </w:r>
      <w:r>
        <w:rPr>
          <w:rFonts w:ascii="Arial" w:hAnsi="Arial" w:cs="Arial"/>
          <w:sz w:val="22"/>
          <w:szCs w:val="22"/>
        </w:rPr>
        <w:t xml:space="preserve"> (era il 34,9% nel 2019)</w:t>
      </w:r>
      <w:r w:rsidR="00683F20">
        <w:rPr>
          <w:rFonts w:ascii="Arial" w:hAnsi="Arial" w:cs="Arial"/>
          <w:sz w:val="22"/>
          <w:szCs w:val="22"/>
        </w:rPr>
        <w:t>,</w:t>
      </w:r>
      <w:r>
        <w:rPr>
          <w:rFonts w:ascii="Arial" w:hAnsi="Arial" w:cs="Arial"/>
          <w:sz w:val="22"/>
          <w:szCs w:val="22"/>
        </w:rPr>
        <w:t xml:space="preserve"> </w:t>
      </w:r>
      <w:r w:rsidR="00E11F98">
        <w:rPr>
          <w:rFonts w:ascii="Arial" w:hAnsi="Arial" w:cs="Arial"/>
          <w:sz w:val="22"/>
          <w:szCs w:val="22"/>
        </w:rPr>
        <w:t>mentr</w:t>
      </w:r>
      <w:r>
        <w:rPr>
          <w:rFonts w:ascii="Arial" w:hAnsi="Arial" w:cs="Arial"/>
          <w:sz w:val="22"/>
          <w:szCs w:val="22"/>
        </w:rPr>
        <w:t>e rispetto alle Isole il vantaggio in valori assoluti del Nord-est è pari a 576 euro</w:t>
      </w:r>
      <w:r w:rsidR="00232396">
        <w:rPr>
          <w:rFonts w:ascii="Arial" w:hAnsi="Arial" w:cs="Arial"/>
          <w:sz w:val="22"/>
          <w:szCs w:val="22"/>
        </w:rPr>
        <w:t xml:space="preserve"> (</w:t>
      </w:r>
      <w:r>
        <w:rPr>
          <w:rFonts w:ascii="Arial" w:hAnsi="Arial" w:cs="Arial"/>
          <w:sz w:val="22"/>
          <w:szCs w:val="22"/>
        </w:rPr>
        <w:t>29,6% in più</w:t>
      </w:r>
      <w:r w:rsidR="00E11F98">
        <w:rPr>
          <w:rFonts w:ascii="Arial" w:hAnsi="Arial" w:cs="Arial"/>
          <w:sz w:val="22"/>
          <w:szCs w:val="22"/>
        </w:rPr>
        <w:t>,</w:t>
      </w:r>
      <w:r>
        <w:rPr>
          <w:rFonts w:ascii="Arial" w:hAnsi="Arial" w:cs="Arial"/>
          <w:sz w:val="22"/>
          <w:szCs w:val="22"/>
        </w:rPr>
        <w:t xml:space="preserve"> a fronte del 34,7% dell’anno precedente</w:t>
      </w:r>
      <w:r w:rsidR="00232396">
        <w:rPr>
          <w:rFonts w:ascii="Arial" w:hAnsi="Arial" w:cs="Arial"/>
          <w:sz w:val="22"/>
          <w:szCs w:val="22"/>
        </w:rPr>
        <w:t>)</w:t>
      </w:r>
      <w:r>
        <w:rPr>
          <w:rFonts w:ascii="Arial" w:hAnsi="Arial" w:cs="Arial"/>
          <w:sz w:val="22"/>
          <w:szCs w:val="22"/>
        </w:rPr>
        <w:t xml:space="preserve">. </w:t>
      </w:r>
    </w:p>
    <w:p w14:paraId="7CC49D57" w14:textId="4AD1A294" w:rsidR="004C365C" w:rsidRDefault="004C365C" w:rsidP="004C365C">
      <w:pPr>
        <w:autoSpaceDE w:val="0"/>
        <w:autoSpaceDN w:val="0"/>
        <w:adjustRightInd w:val="0"/>
        <w:spacing w:after="120"/>
        <w:jc w:val="both"/>
        <w:rPr>
          <w:rFonts w:ascii="Arial" w:hAnsi="Arial" w:cs="Arial"/>
          <w:sz w:val="22"/>
          <w:szCs w:val="22"/>
        </w:rPr>
      </w:pPr>
      <w:r w:rsidRPr="002E2087">
        <w:rPr>
          <w:rFonts w:ascii="Arial" w:hAnsi="Arial" w:cs="Arial"/>
          <w:sz w:val="22"/>
          <w:szCs w:val="22"/>
        </w:rPr>
        <w:t>Nel Sud e nelle Isole, dove le disponibilità economiche sono generalmente minori, a pesare di più sulla spesa delle famiglie sono le voci destinate al soddisfacimento de</w:t>
      </w:r>
      <w:r>
        <w:rPr>
          <w:rFonts w:ascii="Arial" w:hAnsi="Arial" w:cs="Arial"/>
          <w:sz w:val="22"/>
          <w:szCs w:val="22"/>
        </w:rPr>
        <w:t>i bisogni primari,</w:t>
      </w:r>
      <w:r w:rsidRPr="002E2087">
        <w:rPr>
          <w:rFonts w:ascii="Arial" w:hAnsi="Arial" w:cs="Arial"/>
          <w:sz w:val="22"/>
          <w:szCs w:val="22"/>
        </w:rPr>
        <w:t xml:space="preserve"> </w:t>
      </w:r>
      <w:r w:rsidR="00C42F91">
        <w:rPr>
          <w:rFonts w:ascii="Arial" w:hAnsi="Arial" w:cs="Arial"/>
          <w:sz w:val="22"/>
          <w:szCs w:val="22"/>
        </w:rPr>
        <w:t>come</w:t>
      </w:r>
      <w:r w:rsidR="00C42F91" w:rsidRPr="002E2087">
        <w:rPr>
          <w:rFonts w:ascii="Arial" w:hAnsi="Arial" w:cs="Arial"/>
          <w:sz w:val="22"/>
          <w:szCs w:val="22"/>
        </w:rPr>
        <w:t xml:space="preserve"> </w:t>
      </w:r>
      <w:r w:rsidRPr="002E2087">
        <w:rPr>
          <w:rFonts w:ascii="Arial" w:hAnsi="Arial" w:cs="Arial"/>
          <w:sz w:val="22"/>
          <w:szCs w:val="22"/>
        </w:rPr>
        <w:t xml:space="preserve">quelle per </w:t>
      </w:r>
      <w:r w:rsidRPr="00CD0F10">
        <w:rPr>
          <w:rFonts w:ascii="Arial" w:hAnsi="Arial" w:cs="Arial"/>
          <w:sz w:val="22"/>
          <w:szCs w:val="22"/>
        </w:rPr>
        <w:t>Alimentari e bevande analcoliche</w:t>
      </w:r>
      <w:r w:rsidRPr="002E2087">
        <w:rPr>
          <w:rFonts w:ascii="Arial" w:hAnsi="Arial" w:cs="Arial"/>
          <w:sz w:val="22"/>
          <w:szCs w:val="22"/>
        </w:rPr>
        <w:t>: rispetto alla media nazionale (</w:t>
      </w:r>
      <w:r>
        <w:rPr>
          <w:rFonts w:ascii="Arial" w:hAnsi="Arial" w:cs="Arial"/>
          <w:sz w:val="22"/>
          <w:szCs w:val="22"/>
        </w:rPr>
        <w:t>20</w:t>
      </w:r>
      <w:r w:rsidRPr="002E2087">
        <w:rPr>
          <w:rFonts w:ascii="Arial" w:hAnsi="Arial" w:cs="Arial"/>
          <w:sz w:val="22"/>
          <w:szCs w:val="22"/>
        </w:rPr>
        <w:t xml:space="preserve">,1%), </w:t>
      </w:r>
      <w:r>
        <w:rPr>
          <w:rFonts w:ascii="Arial" w:hAnsi="Arial" w:cs="Arial"/>
          <w:sz w:val="22"/>
          <w:szCs w:val="22"/>
        </w:rPr>
        <w:t xml:space="preserve">nel 2020 questa </w:t>
      </w:r>
      <w:r w:rsidRPr="002E2087">
        <w:rPr>
          <w:rFonts w:ascii="Arial" w:hAnsi="Arial" w:cs="Arial"/>
          <w:sz w:val="22"/>
          <w:szCs w:val="22"/>
        </w:rPr>
        <w:t xml:space="preserve">quota </w:t>
      </w:r>
      <w:r>
        <w:rPr>
          <w:rFonts w:ascii="Arial" w:hAnsi="Arial" w:cs="Arial"/>
          <w:sz w:val="22"/>
          <w:szCs w:val="22"/>
        </w:rPr>
        <w:t xml:space="preserve">di </w:t>
      </w:r>
      <w:r w:rsidRPr="002E2087">
        <w:rPr>
          <w:rFonts w:ascii="Arial" w:hAnsi="Arial" w:cs="Arial"/>
          <w:sz w:val="22"/>
          <w:szCs w:val="22"/>
        </w:rPr>
        <w:t xml:space="preserve">spesa </w:t>
      </w:r>
      <w:r>
        <w:rPr>
          <w:rFonts w:ascii="Arial" w:hAnsi="Arial" w:cs="Arial"/>
          <w:sz w:val="22"/>
          <w:szCs w:val="22"/>
        </w:rPr>
        <w:t xml:space="preserve">arriva al </w:t>
      </w:r>
      <w:r w:rsidRPr="002E2087">
        <w:rPr>
          <w:rFonts w:ascii="Arial" w:hAnsi="Arial" w:cs="Arial"/>
          <w:sz w:val="22"/>
          <w:szCs w:val="22"/>
        </w:rPr>
        <w:t>2</w:t>
      </w:r>
      <w:r>
        <w:rPr>
          <w:rFonts w:ascii="Arial" w:hAnsi="Arial" w:cs="Arial"/>
          <w:sz w:val="22"/>
          <w:szCs w:val="22"/>
        </w:rPr>
        <w:t>5</w:t>
      </w:r>
      <w:r w:rsidRPr="002E2087">
        <w:rPr>
          <w:rFonts w:ascii="Arial" w:hAnsi="Arial" w:cs="Arial"/>
          <w:sz w:val="22"/>
          <w:szCs w:val="22"/>
        </w:rPr>
        <w:t>,</w:t>
      </w:r>
      <w:r>
        <w:rPr>
          <w:rFonts w:ascii="Arial" w:hAnsi="Arial" w:cs="Arial"/>
          <w:sz w:val="22"/>
          <w:szCs w:val="22"/>
        </w:rPr>
        <w:t>2</w:t>
      </w:r>
      <w:r w:rsidRPr="002E2087">
        <w:rPr>
          <w:rFonts w:ascii="Arial" w:hAnsi="Arial" w:cs="Arial"/>
          <w:sz w:val="22"/>
          <w:szCs w:val="22"/>
        </w:rPr>
        <w:t xml:space="preserve">% </w:t>
      </w:r>
      <w:r w:rsidR="00C42F91">
        <w:rPr>
          <w:rFonts w:ascii="Arial" w:hAnsi="Arial" w:cs="Arial"/>
          <w:sz w:val="22"/>
          <w:szCs w:val="22"/>
        </w:rPr>
        <w:t>a</w:t>
      </w:r>
      <w:r w:rsidR="00C42F91" w:rsidRPr="002E2087">
        <w:rPr>
          <w:rFonts w:ascii="Arial" w:hAnsi="Arial" w:cs="Arial"/>
          <w:sz w:val="22"/>
          <w:szCs w:val="22"/>
        </w:rPr>
        <w:t xml:space="preserve">l </w:t>
      </w:r>
      <w:r w:rsidRPr="002E2087">
        <w:rPr>
          <w:rFonts w:ascii="Arial" w:hAnsi="Arial" w:cs="Arial"/>
          <w:sz w:val="22"/>
          <w:szCs w:val="22"/>
        </w:rPr>
        <w:t xml:space="preserve">Sud e </w:t>
      </w:r>
      <w:r>
        <w:rPr>
          <w:rFonts w:ascii="Arial" w:hAnsi="Arial" w:cs="Arial"/>
          <w:sz w:val="22"/>
          <w:szCs w:val="22"/>
        </w:rPr>
        <w:t>al 24,5</w:t>
      </w:r>
      <w:r w:rsidRPr="002E2087">
        <w:rPr>
          <w:rFonts w:ascii="Arial" w:hAnsi="Arial" w:cs="Arial"/>
          <w:sz w:val="22"/>
          <w:szCs w:val="22"/>
        </w:rPr>
        <w:t>% nelle Isole mentre</w:t>
      </w:r>
      <w:r>
        <w:rPr>
          <w:rFonts w:ascii="Arial" w:hAnsi="Arial" w:cs="Arial"/>
          <w:sz w:val="22"/>
          <w:szCs w:val="22"/>
        </w:rPr>
        <w:t xml:space="preserve"> </w:t>
      </w:r>
      <w:r w:rsidRPr="002E2087">
        <w:rPr>
          <w:rFonts w:ascii="Arial" w:hAnsi="Arial" w:cs="Arial"/>
          <w:sz w:val="22"/>
          <w:szCs w:val="22"/>
        </w:rPr>
        <w:t>si ferma al 1</w:t>
      </w:r>
      <w:r>
        <w:rPr>
          <w:rFonts w:ascii="Arial" w:hAnsi="Arial" w:cs="Arial"/>
          <w:sz w:val="22"/>
          <w:szCs w:val="22"/>
        </w:rPr>
        <w:t>7</w:t>
      </w:r>
      <w:r w:rsidRPr="002E2087">
        <w:rPr>
          <w:rFonts w:ascii="Arial" w:hAnsi="Arial" w:cs="Arial"/>
          <w:sz w:val="22"/>
          <w:szCs w:val="22"/>
        </w:rPr>
        <w:t>,9% nel Nord-</w:t>
      </w:r>
      <w:r>
        <w:rPr>
          <w:rFonts w:ascii="Arial" w:hAnsi="Arial" w:cs="Arial"/>
          <w:sz w:val="22"/>
          <w:szCs w:val="22"/>
        </w:rPr>
        <w:t>ovest.</w:t>
      </w:r>
    </w:p>
    <w:p w14:paraId="58AC9FC1" w14:textId="6BAAAE00" w:rsidR="009608E9" w:rsidRDefault="00F64C4D" w:rsidP="00F64C4D">
      <w:pPr>
        <w:autoSpaceDE w:val="0"/>
        <w:autoSpaceDN w:val="0"/>
        <w:adjustRightInd w:val="0"/>
        <w:spacing w:after="120"/>
        <w:jc w:val="both"/>
        <w:rPr>
          <w:rFonts w:ascii="Arial" w:hAnsi="Arial" w:cs="Arial"/>
          <w:sz w:val="22"/>
          <w:szCs w:val="22"/>
        </w:rPr>
      </w:pPr>
      <w:r w:rsidRPr="009E1FED">
        <w:rPr>
          <w:rFonts w:ascii="Arial" w:hAnsi="Arial" w:cs="Arial"/>
          <w:sz w:val="22"/>
          <w:szCs w:val="22"/>
        </w:rPr>
        <w:t>Anche nel 2020, le regioni con la spesa media mensile più elevata sono Trentino-Alto Adige (2.742 euro) e Lombardia (2.674 euro)</w:t>
      </w:r>
      <w:r w:rsidR="00C42F91">
        <w:rPr>
          <w:rFonts w:ascii="Arial" w:hAnsi="Arial" w:cs="Arial"/>
          <w:sz w:val="22"/>
          <w:szCs w:val="22"/>
        </w:rPr>
        <w:t xml:space="preserve"> mentre</w:t>
      </w:r>
      <w:r w:rsidRPr="009E1FED">
        <w:rPr>
          <w:rFonts w:ascii="Arial" w:hAnsi="Arial" w:cs="Arial"/>
          <w:sz w:val="22"/>
          <w:szCs w:val="22"/>
        </w:rPr>
        <w:t xml:space="preserve"> Puglia e Basilicata</w:t>
      </w:r>
      <w:r w:rsidR="00E54B3D">
        <w:rPr>
          <w:rFonts w:ascii="Arial" w:hAnsi="Arial" w:cs="Arial"/>
          <w:sz w:val="22"/>
          <w:szCs w:val="22"/>
        </w:rPr>
        <w:t xml:space="preserve"> hanno </w:t>
      </w:r>
      <w:r w:rsidRPr="009E1FED">
        <w:rPr>
          <w:rFonts w:ascii="Arial" w:hAnsi="Arial" w:cs="Arial"/>
          <w:sz w:val="22"/>
          <w:szCs w:val="22"/>
        </w:rPr>
        <w:t>la spesa più contenuta, rispettivamente 1.798 e 1.736 euro mensili; la quota più alta per Alimentari e bevande analcoliche si continua a registrare in Calabria, dove si attesta al 29,4%</w:t>
      </w:r>
      <w:r w:rsidR="00E11F98">
        <w:rPr>
          <w:rFonts w:ascii="Arial" w:hAnsi="Arial" w:cs="Arial"/>
          <w:sz w:val="22"/>
          <w:szCs w:val="22"/>
        </w:rPr>
        <w:t>,</w:t>
      </w:r>
      <w:r w:rsidRPr="009E1FED">
        <w:rPr>
          <w:rFonts w:ascii="Arial" w:hAnsi="Arial" w:cs="Arial"/>
          <w:sz w:val="22"/>
          <w:szCs w:val="22"/>
        </w:rPr>
        <w:t xml:space="preserve"> a fronte del 25,0</w:t>
      </w:r>
      <w:r>
        <w:rPr>
          <w:rFonts w:ascii="Arial" w:hAnsi="Arial" w:cs="Arial"/>
          <w:sz w:val="22"/>
          <w:szCs w:val="22"/>
        </w:rPr>
        <w:t>%</w:t>
      </w:r>
      <w:r w:rsidRPr="009E1FED">
        <w:rPr>
          <w:rFonts w:ascii="Arial" w:hAnsi="Arial" w:cs="Arial"/>
          <w:sz w:val="22"/>
          <w:szCs w:val="22"/>
        </w:rPr>
        <w:t xml:space="preserve"> osservato nel</w:t>
      </w:r>
      <w:r w:rsidR="002F587C">
        <w:rPr>
          <w:rFonts w:ascii="Arial" w:hAnsi="Arial" w:cs="Arial"/>
          <w:sz w:val="22"/>
          <w:szCs w:val="22"/>
        </w:rPr>
        <w:t xml:space="preserve"> 2019</w:t>
      </w:r>
      <w:r w:rsidRPr="009E1FED">
        <w:rPr>
          <w:rFonts w:ascii="Arial" w:hAnsi="Arial" w:cs="Arial"/>
          <w:sz w:val="22"/>
          <w:szCs w:val="22"/>
        </w:rPr>
        <w:t>.</w:t>
      </w:r>
      <w:r w:rsidR="00745212">
        <w:rPr>
          <w:rFonts w:ascii="Arial" w:hAnsi="Arial" w:cs="Arial"/>
          <w:sz w:val="22"/>
          <w:szCs w:val="22"/>
        </w:rPr>
        <w:t xml:space="preserve"> </w:t>
      </w:r>
    </w:p>
    <w:p w14:paraId="6B7F3072" w14:textId="6B5AA853" w:rsidR="009608E9" w:rsidRDefault="00F64C4D" w:rsidP="00F64C4D">
      <w:pPr>
        <w:autoSpaceDE w:val="0"/>
        <w:autoSpaceDN w:val="0"/>
        <w:adjustRightInd w:val="0"/>
        <w:spacing w:after="120"/>
        <w:jc w:val="both"/>
        <w:rPr>
          <w:rFonts w:ascii="Arial" w:hAnsi="Arial" w:cs="Arial"/>
          <w:sz w:val="22"/>
          <w:szCs w:val="22"/>
        </w:rPr>
      </w:pPr>
      <w:r w:rsidRPr="003564F7">
        <w:rPr>
          <w:rFonts w:ascii="Arial" w:hAnsi="Arial" w:cs="Arial"/>
          <w:sz w:val="22"/>
          <w:szCs w:val="22"/>
        </w:rPr>
        <w:t>I livelli e la composizione della spesa variano a seconda della tipologia del comune di residenza. Anche nel 2020,</w:t>
      </w:r>
      <w:r w:rsidR="009608E9">
        <w:rPr>
          <w:rFonts w:ascii="Arial" w:hAnsi="Arial" w:cs="Arial"/>
          <w:sz w:val="22"/>
          <w:szCs w:val="22"/>
        </w:rPr>
        <w:t xml:space="preserve"> infatti,</w:t>
      </w:r>
      <w:r w:rsidRPr="003564F7">
        <w:rPr>
          <w:rFonts w:ascii="Arial" w:hAnsi="Arial" w:cs="Arial"/>
          <w:sz w:val="22"/>
          <w:szCs w:val="22"/>
        </w:rPr>
        <w:t xml:space="preserve"> nei comuni centro di area metropolitana le famiglie spendono di più: 2.616 euro mensili</w:t>
      </w:r>
      <w:r w:rsidR="009608E9">
        <w:rPr>
          <w:rFonts w:ascii="Arial" w:hAnsi="Arial" w:cs="Arial"/>
          <w:sz w:val="22"/>
          <w:szCs w:val="22"/>
        </w:rPr>
        <w:t xml:space="preserve"> contro i 2.3</w:t>
      </w:r>
      <w:r w:rsidR="00D93426">
        <w:rPr>
          <w:rFonts w:ascii="Arial" w:hAnsi="Arial" w:cs="Arial"/>
          <w:sz w:val="22"/>
          <w:szCs w:val="22"/>
        </w:rPr>
        <w:t>7</w:t>
      </w:r>
      <w:r w:rsidR="009608E9">
        <w:rPr>
          <w:rFonts w:ascii="Arial" w:hAnsi="Arial" w:cs="Arial"/>
          <w:sz w:val="22"/>
          <w:szCs w:val="22"/>
        </w:rPr>
        <w:t>8</w:t>
      </w:r>
      <w:r w:rsidR="00C42F91">
        <w:rPr>
          <w:rFonts w:ascii="Arial" w:hAnsi="Arial" w:cs="Arial"/>
          <w:sz w:val="22"/>
          <w:szCs w:val="22"/>
        </w:rPr>
        <w:t xml:space="preserve"> euro</w:t>
      </w:r>
      <w:r w:rsidRPr="003564F7">
        <w:rPr>
          <w:rFonts w:ascii="Arial" w:hAnsi="Arial" w:cs="Arial"/>
          <w:sz w:val="22"/>
          <w:szCs w:val="22"/>
        </w:rPr>
        <w:t xml:space="preserve"> nei comuni periferici delle aree metropolitane e in quelli con almeno 50mila abitanti</w:t>
      </w:r>
      <w:r w:rsidR="009608E9">
        <w:rPr>
          <w:rFonts w:ascii="Arial" w:hAnsi="Arial" w:cs="Arial"/>
          <w:sz w:val="22"/>
          <w:szCs w:val="22"/>
        </w:rPr>
        <w:t xml:space="preserve"> e i 2.2</w:t>
      </w:r>
      <w:r w:rsidR="00D93426">
        <w:rPr>
          <w:rFonts w:ascii="Arial" w:hAnsi="Arial" w:cs="Arial"/>
          <w:sz w:val="22"/>
          <w:szCs w:val="22"/>
        </w:rPr>
        <w:t>0</w:t>
      </w:r>
      <w:r w:rsidR="009608E9">
        <w:rPr>
          <w:rFonts w:ascii="Arial" w:hAnsi="Arial" w:cs="Arial"/>
          <w:sz w:val="22"/>
          <w:szCs w:val="22"/>
        </w:rPr>
        <w:t xml:space="preserve">7 </w:t>
      </w:r>
      <w:r w:rsidRPr="003564F7">
        <w:rPr>
          <w:rFonts w:ascii="Arial" w:hAnsi="Arial" w:cs="Arial"/>
          <w:sz w:val="22"/>
          <w:szCs w:val="22"/>
        </w:rPr>
        <w:t>euro nei comuni fino a 50mila abitanti che non appartengono alla cerchia periferica delle aree metropolitane.</w:t>
      </w:r>
    </w:p>
    <w:p w14:paraId="6107098B" w14:textId="50F6F8CD" w:rsidR="00F64C4D" w:rsidRPr="003564F7" w:rsidRDefault="002821C8" w:rsidP="00F64C4D">
      <w:pPr>
        <w:autoSpaceDE w:val="0"/>
        <w:autoSpaceDN w:val="0"/>
        <w:adjustRightInd w:val="0"/>
        <w:spacing w:after="120"/>
        <w:jc w:val="both"/>
        <w:rPr>
          <w:rFonts w:ascii="Arial" w:hAnsi="Arial" w:cs="Arial"/>
          <w:sz w:val="22"/>
          <w:szCs w:val="22"/>
        </w:rPr>
      </w:pPr>
      <w:r>
        <w:rPr>
          <w:rFonts w:ascii="Arial" w:hAnsi="Arial" w:cs="Arial"/>
          <w:sz w:val="22"/>
          <w:szCs w:val="22"/>
        </w:rPr>
        <w:t>Tuttavia,</w:t>
      </w:r>
      <w:r w:rsidR="009608E9">
        <w:rPr>
          <w:rFonts w:ascii="Arial" w:hAnsi="Arial" w:cs="Arial"/>
          <w:sz w:val="22"/>
          <w:szCs w:val="22"/>
        </w:rPr>
        <w:t xml:space="preserve"> </w:t>
      </w:r>
      <w:r w:rsidRPr="003564F7">
        <w:rPr>
          <w:rFonts w:ascii="Arial" w:hAnsi="Arial" w:cs="Arial"/>
          <w:sz w:val="22"/>
          <w:szCs w:val="22"/>
        </w:rPr>
        <w:t>la maggior contrazione della spesa per consumi</w:t>
      </w:r>
      <w:r>
        <w:rPr>
          <w:rFonts w:ascii="Arial" w:hAnsi="Arial" w:cs="Arial"/>
          <w:sz w:val="22"/>
          <w:szCs w:val="22"/>
        </w:rPr>
        <w:t xml:space="preserve"> (</w:t>
      </w:r>
      <w:r w:rsidRPr="003564F7">
        <w:rPr>
          <w:rFonts w:ascii="Arial" w:hAnsi="Arial" w:cs="Arial"/>
          <w:sz w:val="22"/>
          <w:szCs w:val="22"/>
        </w:rPr>
        <w:t>-10,1%</w:t>
      </w:r>
      <w:r>
        <w:rPr>
          <w:rFonts w:ascii="Arial" w:hAnsi="Arial" w:cs="Arial"/>
          <w:sz w:val="22"/>
          <w:szCs w:val="22"/>
        </w:rPr>
        <w:t xml:space="preserve">) si registra proprio </w:t>
      </w:r>
      <w:r w:rsidR="009608E9">
        <w:rPr>
          <w:rFonts w:ascii="Arial" w:hAnsi="Arial" w:cs="Arial"/>
          <w:sz w:val="22"/>
          <w:szCs w:val="22"/>
        </w:rPr>
        <w:t xml:space="preserve">nei </w:t>
      </w:r>
      <w:r w:rsidR="009608E9" w:rsidRPr="003564F7">
        <w:rPr>
          <w:rFonts w:ascii="Arial" w:hAnsi="Arial" w:cs="Arial"/>
          <w:sz w:val="22"/>
          <w:szCs w:val="22"/>
        </w:rPr>
        <w:t>comuni centro di area metropolitana</w:t>
      </w:r>
      <w:r w:rsidR="00BB0844">
        <w:rPr>
          <w:rFonts w:ascii="Arial" w:hAnsi="Arial" w:cs="Arial"/>
          <w:sz w:val="22"/>
          <w:szCs w:val="22"/>
        </w:rPr>
        <w:t xml:space="preserve">, </w:t>
      </w:r>
      <w:r w:rsidR="009608E9">
        <w:rPr>
          <w:rFonts w:ascii="Arial" w:hAnsi="Arial" w:cs="Arial"/>
          <w:sz w:val="22"/>
          <w:szCs w:val="22"/>
        </w:rPr>
        <w:t xml:space="preserve">anche a causa di </w:t>
      </w:r>
      <w:r>
        <w:rPr>
          <w:rFonts w:ascii="Arial" w:hAnsi="Arial" w:cs="Arial"/>
          <w:sz w:val="22"/>
          <w:szCs w:val="22"/>
        </w:rPr>
        <w:t>un maggior consumo di quei</w:t>
      </w:r>
      <w:r w:rsidR="009608E9">
        <w:rPr>
          <w:rFonts w:ascii="Arial" w:hAnsi="Arial" w:cs="Arial"/>
          <w:sz w:val="22"/>
          <w:szCs w:val="22"/>
        </w:rPr>
        <w:t xml:space="preserve"> </w:t>
      </w:r>
      <w:r w:rsidR="00BB0844">
        <w:rPr>
          <w:rFonts w:ascii="Arial" w:hAnsi="Arial" w:cs="Arial"/>
          <w:sz w:val="22"/>
          <w:szCs w:val="22"/>
        </w:rPr>
        <w:t>beni e servizi particolarmente penalizzati dalla pandemia. Questo fa sì che</w:t>
      </w:r>
      <w:r w:rsidR="009608E9">
        <w:rPr>
          <w:rFonts w:ascii="Arial" w:hAnsi="Arial" w:cs="Arial"/>
          <w:sz w:val="22"/>
          <w:szCs w:val="22"/>
        </w:rPr>
        <w:t>, r</w:t>
      </w:r>
      <w:r w:rsidR="00F64C4D" w:rsidRPr="003564F7">
        <w:rPr>
          <w:rFonts w:ascii="Arial" w:hAnsi="Arial" w:cs="Arial"/>
          <w:sz w:val="22"/>
          <w:szCs w:val="22"/>
        </w:rPr>
        <w:t>ispetto al 2019</w:t>
      </w:r>
      <w:r>
        <w:rPr>
          <w:rFonts w:ascii="Arial" w:hAnsi="Arial" w:cs="Arial"/>
          <w:sz w:val="22"/>
          <w:szCs w:val="22"/>
        </w:rPr>
        <w:t>,</w:t>
      </w:r>
      <w:r w:rsidR="00F64C4D" w:rsidRPr="003564F7">
        <w:rPr>
          <w:rFonts w:ascii="Arial" w:hAnsi="Arial" w:cs="Arial"/>
          <w:sz w:val="22"/>
          <w:szCs w:val="22"/>
        </w:rPr>
        <w:t xml:space="preserve"> i divari tra </w:t>
      </w:r>
      <w:r w:rsidR="009608E9">
        <w:rPr>
          <w:rFonts w:ascii="Arial" w:hAnsi="Arial" w:cs="Arial"/>
          <w:sz w:val="22"/>
          <w:szCs w:val="22"/>
        </w:rPr>
        <w:t xml:space="preserve">questi </w:t>
      </w:r>
      <w:r w:rsidR="00F64C4D" w:rsidRPr="003564F7">
        <w:rPr>
          <w:rFonts w:ascii="Arial" w:hAnsi="Arial" w:cs="Arial"/>
          <w:sz w:val="22"/>
          <w:szCs w:val="22"/>
        </w:rPr>
        <w:t xml:space="preserve">e tutti gli altri comuni si </w:t>
      </w:r>
      <w:r w:rsidR="00BB0844" w:rsidRPr="003564F7">
        <w:rPr>
          <w:rFonts w:ascii="Arial" w:hAnsi="Arial" w:cs="Arial"/>
          <w:sz w:val="22"/>
          <w:szCs w:val="22"/>
        </w:rPr>
        <w:t>s</w:t>
      </w:r>
      <w:r w:rsidR="00BB0844">
        <w:rPr>
          <w:rFonts w:ascii="Arial" w:hAnsi="Arial" w:cs="Arial"/>
          <w:sz w:val="22"/>
          <w:szCs w:val="22"/>
        </w:rPr>
        <w:t>ia</w:t>
      </w:r>
      <w:r w:rsidR="00BB0844" w:rsidRPr="003564F7">
        <w:rPr>
          <w:rFonts w:ascii="Arial" w:hAnsi="Arial" w:cs="Arial"/>
          <w:sz w:val="22"/>
          <w:szCs w:val="22"/>
        </w:rPr>
        <w:t xml:space="preserve">no </w:t>
      </w:r>
      <w:r w:rsidR="00F64C4D" w:rsidRPr="003564F7">
        <w:rPr>
          <w:rFonts w:ascii="Arial" w:hAnsi="Arial" w:cs="Arial"/>
          <w:sz w:val="22"/>
          <w:szCs w:val="22"/>
        </w:rPr>
        <w:t>leggermente ridotti</w:t>
      </w:r>
      <w:r w:rsidR="00225C62">
        <w:rPr>
          <w:rFonts w:ascii="Arial" w:hAnsi="Arial" w:cs="Arial"/>
          <w:sz w:val="22"/>
          <w:szCs w:val="22"/>
        </w:rPr>
        <w:t xml:space="preserve"> (da 328 a 238 euro rispetto a</w:t>
      </w:r>
      <w:r w:rsidR="00225C62" w:rsidRPr="00225C62">
        <w:rPr>
          <w:rFonts w:ascii="Arial" w:hAnsi="Arial" w:cs="Arial"/>
          <w:sz w:val="22"/>
          <w:szCs w:val="22"/>
        </w:rPr>
        <w:t>i comuni periferici delle aree metropolitane e in quelli con almeno 50mila abitanti</w:t>
      </w:r>
      <w:r w:rsidR="00225C62">
        <w:rPr>
          <w:rFonts w:ascii="Arial" w:hAnsi="Arial" w:cs="Arial"/>
          <w:sz w:val="22"/>
          <w:szCs w:val="22"/>
        </w:rPr>
        <w:t xml:space="preserve">, da 466 a 409 </w:t>
      </w:r>
      <w:r w:rsidR="00544D26">
        <w:rPr>
          <w:rFonts w:ascii="Arial" w:hAnsi="Arial" w:cs="Arial"/>
          <w:sz w:val="22"/>
          <w:szCs w:val="22"/>
        </w:rPr>
        <w:t xml:space="preserve">euro </w:t>
      </w:r>
      <w:r w:rsidR="00225C62">
        <w:rPr>
          <w:rFonts w:ascii="Arial" w:hAnsi="Arial" w:cs="Arial"/>
          <w:sz w:val="22"/>
          <w:szCs w:val="22"/>
        </w:rPr>
        <w:t xml:space="preserve">rispetto ai </w:t>
      </w:r>
      <w:r w:rsidR="00225C62" w:rsidRPr="00225C62">
        <w:rPr>
          <w:rFonts w:ascii="Arial" w:hAnsi="Arial" w:cs="Arial"/>
          <w:sz w:val="22"/>
          <w:szCs w:val="22"/>
        </w:rPr>
        <w:t>comuni fino a 50mila abitanti fuori dalla cerchia periferica delle aree metropolitane</w:t>
      </w:r>
      <w:r w:rsidR="00225C62">
        <w:rPr>
          <w:rFonts w:ascii="Arial" w:hAnsi="Arial" w:cs="Arial"/>
          <w:sz w:val="22"/>
          <w:szCs w:val="22"/>
        </w:rPr>
        <w:t>)</w:t>
      </w:r>
      <w:r w:rsidR="00F64C4D" w:rsidRPr="00225C62">
        <w:rPr>
          <w:rFonts w:ascii="Arial" w:hAnsi="Arial" w:cs="Arial"/>
          <w:sz w:val="22"/>
          <w:szCs w:val="22"/>
        </w:rPr>
        <w:t>.</w:t>
      </w:r>
      <w:r w:rsidR="00F64C4D" w:rsidRPr="003564F7">
        <w:rPr>
          <w:rFonts w:ascii="Arial" w:hAnsi="Arial" w:cs="Arial"/>
          <w:sz w:val="22"/>
          <w:szCs w:val="22"/>
        </w:rPr>
        <w:t xml:space="preserve"> </w:t>
      </w:r>
    </w:p>
    <w:p w14:paraId="3D94C7B8" w14:textId="5F9B766F" w:rsidR="00B62C24" w:rsidRPr="00745D8E" w:rsidRDefault="00B62C24" w:rsidP="00B62C24">
      <w:pPr>
        <w:autoSpaceDE w:val="0"/>
        <w:autoSpaceDN w:val="0"/>
        <w:adjustRightInd w:val="0"/>
        <w:spacing w:after="120"/>
        <w:jc w:val="both"/>
        <w:rPr>
          <w:rFonts w:ascii="Arial" w:hAnsi="Arial" w:cs="Arial"/>
          <w:sz w:val="22"/>
          <w:szCs w:val="22"/>
          <w:highlight w:val="yellow"/>
        </w:rPr>
      </w:pPr>
    </w:p>
    <w:p w14:paraId="71F72C58" w14:textId="6F388B4D" w:rsidR="00886DA8" w:rsidRDefault="002821C8" w:rsidP="00886DA8">
      <w:pPr>
        <w:autoSpaceDE w:val="0"/>
        <w:autoSpaceDN w:val="0"/>
        <w:adjustRightInd w:val="0"/>
        <w:spacing w:after="120"/>
        <w:jc w:val="both"/>
        <w:rPr>
          <w:rFonts w:ascii="Arial" w:hAnsi="Arial" w:cs="Arial"/>
          <w:b/>
          <w:color w:val="1F497D"/>
          <w:sz w:val="26"/>
          <w:szCs w:val="26"/>
        </w:rPr>
      </w:pPr>
      <w:r>
        <w:rPr>
          <w:rFonts w:ascii="Arial" w:hAnsi="Arial" w:cs="Arial"/>
          <w:b/>
          <w:color w:val="1F497D"/>
          <w:sz w:val="26"/>
          <w:szCs w:val="26"/>
        </w:rPr>
        <w:t>Meno</w:t>
      </w:r>
      <w:r w:rsidR="00886DA8">
        <w:rPr>
          <w:rFonts w:ascii="Arial" w:hAnsi="Arial" w:cs="Arial"/>
          <w:b/>
          <w:color w:val="1F497D"/>
          <w:sz w:val="26"/>
          <w:szCs w:val="26"/>
        </w:rPr>
        <w:t xml:space="preserve"> spese per viaggi</w:t>
      </w:r>
      <w:r w:rsidR="00083818">
        <w:rPr>
          <w:rFonts w:ascii="Arial" w:hAnsi="Arial" w:cs="Arial"/>
          <w:b/>
          <w:color w:val="1F497D"/>
          <w:sz w:val="26"/>
          <w:szCs w:val="26"/>
        </w:rPr>
        <w:t xml:space="preserve"> e vacanze e per </w:t>
      </w:r>
      <w:r w:rsidR="00886DA8" w:rsidRPr="00BD31C7">
        <w:rPr>
          <w:rFonts w:ascii="Arial" w:hAnsi="Arial" w:cs="Arial"/>
          <w:b/>
          <w:color w:val="1F497D"/>
          <w:sz w:val="26"/>
          <w:szCs w:val="26"/>
        </w:rPr>
        <w:t>abbigliamento</w:t>
      </w:r>
      <w:r w:rsidR="00886DA8">
        <w:rPr>
          <w:rFonts w:ascii="Arial" w:hAnsi="Arial" w:cs="Arial"/>
          <w:b/>
          <w:color w:val="1F497D"/>
          <w:sz w:val="26"/>
          <w:szCs w:val="26"/>
        </w:rPr>
        <w:t xml:space="preserve"> e calzature</w:t>
      </w:r>
    </w:p>
    <w:p w14:paraId="3914D21E" w14:textId="58AB71BC" w:rsidR="00745212" w:rsidRDefault="00886DA8" w:rsidP="00745212">
      <w:pPr>
        <w:autoSpaceDE w:val="0"/>
        <w:autoSpaceDN w:val="0"/>
        <w:adjustRightInd w:val="0"/>
        <w:spacing w:after="120"/>
        <w:jc w:val="both"/>
        <w:rPr>
          <w:rFonts w:ascii="Arial" w:hAnsi="Arial" w:cs="Arial"/>
          <w:sz w:val="22"/>
          <w:szCs w:val="22"/>
        </w:rPr>
      </w:pPr>
      <w:r w:rsidRPr="003F0845">
        <w:rPr>
          <w:rFonts w:ascii="Arial" w:hAnsi="Arial" w:cs="Arial"/>
          <w:sz w:val="22"/>
          <w:szCs w:val="22"/>
        </w:rPr>
        <w:t>Le famiglie residenti possono mutare nel tempo le proprie abitudini di consumo</w:t>
      </w:r>
      <w:r w:rsidR="00B31DE9">
        <w:rPr>
          <w:rFonts w:ascii="Arial" w:hAnsi="Arial" w:cs="Arial"/>
          <w:sz w:val="22"/>
          <w:szCs w:val="22"/>
        </w:rPr>
        <w:t xml:space="preserve"> e i</w:t>
      </w:r>
      <w:r w:rsidR="002F587C">
        <w:rPr>
          <w:rFonts w:ascii="Arial" w:hAnsi="Arial" w:cs="Arial"/>
          <w:sz w:val="22"/>
          <w:szCs w:val="22"/>
        </w:rPr>
        <w:t>l</w:t>
      </w:r>
      <w:r w:rsidRPr="003F0845">
        <w:rPr>
          <w:rFonts w:ascii="Arial" w:hAnsi="Arial" w:cs="Arial"/>
          <w:sz w:val="22"/>
          <w:szCs w:val="22"/>
        </w:rPr>
        <w:t xml:space="preserve"> cambiamento assume forza e contorni diversi a seconda della voce di spesa considerata.</w:t>
      </w:r>
      <w:r>
        <w:rPr>
          <w:rFonts w:ascii="Arial" w:hAnsi="Arial" w:cs="Arial"/>
          <w:sz w:val="22"/>
          <w:szCs w:val="22"/>
        </w:rPr>
        <w:t xml:space="preserve"> </w:t>
      </w:r>
      <w:r w:rsidR="00745212">
        <w:rPr>
          <w:rFonts w:ascii="Arial" w:hAnsi="Arial" w:cs="Arial"/>
          <w:sz w:val="22"/>
          <w:szCs w:val="22"/>
        </w:rPr>
        <w:t xml:space="preserve">Nel 2020, il mutamento segue i contorni della pandemia e delle misure </w:t>
      </w:r>
      <w:proofErr w:type="gramStart"/>
      <w:r w:rsidR="00745212">
        <w:rPr>
          <w:rFonts w:ascii="Arial" w:hAnsi="Arial" w:cs="Arial"/>
          <w:sz w:val="22"/>
          <w:szCs w:val="22"/>
        </w:rPr>
        <w:t>messe in campo</w:t>
      </w:r>
      <w:proofErr w:type="gramEnd"/>
      <w:r w:rsidR="00745212">
        <w:rPr>
          <w:rFonts w:ascii="Arial" w:hAnsi="Arial" w:cs="Arial"/>
          <w:sz w:val="22"/>
          <w:szCs w:val="22"/>
        </w:rPr>
        <w:t xml:space="preserve"> per contrastarla</w:t>
      </w:r>
      <w:r w:rsidR="002F587C">
        <w:rPr>
          <w:rFonts w:ascii="Arial" w:hAnsi="Arial" w:cs="Arial"/>
          <w:sz w:val="22"/>
          <w:szCs w:val="22"/>
        </w:rPr>
        <w:t xml:space="preserve"> e</w:t>
      </w:r>
      <w:r w:rsidR="002821C8">
        <w:rPr>
          <w:rFonts w:ascii="Arial" w:hAnsi="Arial" w:cs="Arial"/>
          <w:sz w:val="22"/>
          <w:szCs w:val="22"/>
        </w:rPr>
        <w:t xml:space="preserve"> di conseguenza</w:t>
      </w:r>
      <w:r w:rsidR="00745212">
        <w:rPr>
          <w:rFonts w:ascii="Arial" w:hAnsi="Arial" w:cs="Arial"/>
          <w:sz w:val="22"/>
          <w:szCs w:val="22"/>
        </w:rPr>
        <w:t xml:space="preserve"> </w:t>
      </w:r>
      <w:r w:rsidR="00705424">
        <w:rPr>
          <w:rFonts w:ascii="Arial" w:hAnsi="Arial" w:cs="Arial"/>
          <w:sz w:val="22"/>
          <w:szCs w:val="22"/>
        </w:rPr>
        <w:t xml:space="preserve">si </w:t>
      </w:r>
      <w:r w:rsidR="002821C8">
        <w:rPr>
          <w:rFonts w:ascii="Arial" w:hAnsi="Arial" w:cs="Arial"/>
          <w:sz w:val="22"/>
          <w:szCs w:val="22"/>
        </w:rPr>
        <w:t xml:space="preserve">sono molto </w:t>
      </w:r>
      <w:r w:rsidR="00D21AC0">
        <w:rPr>
          <w:rFonts w:ascii="Arial" w:hAnsi="Arial" w:cs="Arial"/>
          <w:sz w:val="22"/>
          <w:szCs w:val="22"/>
        </w:rPr>
        <w:t>modificate</w:t>
      </w:r>
      <w:r w:rsidR="002821C8">
        <w:rPr>
          <w:rFonts w:ascii="Arial" w:hAnsi="Arial" w:cs="Arial"/>
          <w:sz w:val="22"/>
          <w:szCs w:val="22"/>
        </w:rPr>
        <w:t xml:space="preserve"> </w:t>
      </w:r>
      <w:r w:rsidR="00745212">
        <w:rPr>
          <w:rFonts w:ascii="Arial" w:hAnsi="Arial" w:cs="Arial"/>
          <w:sz w:val="22"/>
          <w:szCs w:val="22"/>
        </w:rPr>
        <w:t xml:space="preserve">le abitudini relative a spese per viaggi </w:t>
      </w:r>
      <w:r w:rsidR="0067184B">
        <w:rPr>
          <w:rFonts w:ascii="Arial" w:hAnsi="Arial" w:cs="Arial"/>
          <w:sz w:val="22"/>
          <w:szCs w:val="22"/>
        </w:rPr>
        <w:t xml:space="preserve">e vacanze </w:t>
      </w:r>
      <w:r w:rsidR="00745212">
        <w:rPr>
          <w:rFonts w:ascii="Arial" w:hAnsi="Arial" w:cs="Arial"/>
          <w:sz w:val="22"/>
          <w:szCs w:val="22"/>
        </w:rPr>
        <w:t>e</w:t>
      </w:r>
      <w:r w:rsidR="0067184B">
        <w:rPr>
          <w:rFonts w:ascii="Arial" w:hAnsi="Arial" w:cs="Arial"/>
          <w:sz w:val="22"/>
          <w:szCs w:val="22"/>
        </w:rPr>
        <w:t xml:space="preserve"> per </w:t>
      </w:r>
      <w:r w:rsidR="00745212">
        <w:rPr>
          <w:rFonts w:ascii="Arial" w:hAnsi="Arial" w:cs="Arial"/>
          <w:sz w:val="22"/>
          <w:szCs w:val="22"/>
        </w:rPr>
        <w:t>abbigliamento</w:t>
      </w:r>
      <w:r w:rsidR="0067184B">
        <w:rPr>
          <w:rFonts w:ascii="Arial" w:hAnsi="Arial" w:cs="Arial"/>
          <w:sz w:val="22"/>
          <w:szCs w:val="22"/>
        </w:rPr>
        <w:t xml:space="preserve"> e calzature</w:t>
      </w:r>
      <w:r w:rsidR="00745212">
        <w:rPr>
          <w:rFonts w:ascii="Arial" w:hAnsi="Arial" w:cs="Arial"/>
          <w:sz w:val="22"/>
          <w:szCs w:val="22"/>
        </w:rPr>
        <w:t xml:space="preserve">. </w:t>
      </w:r>
    </w:p>
    <w:p w14:paraId="2641C5AF" w14:textId="21159042" w:rsidR="00225C62" w:rsidRPr="008A1BB9" w:rsidRDefault="00225C62" w:rsidP="00E00B80">
      <w:pPr>
        <w:tabs>
          <w:tab w:val="left" w:pos="2085"/>
        </w:tabs>
        <w:autoSpaceDE w:val="0"/>
        <w:autoSpaceDN w:val="0"/>
        <w:adjustRightInd w:val="0"/>
        <w:spacing w:after="120"/>
        <w:jc w:val="both"/>
        <w:rPr>
          <w:rFonts w:ascii="Arial" w:hAnsi="Arial" w:cs="Arial"/>
          <w:sz w:val="56"/>
          <w:szCs w:val="56"/>
        </w:rPr>
      </w:pPr>
    </w:p>
    <w:p w14:paraId="56049489" w14:textId="77777777" w:rsidR="005C63FD" w:rsidRDefault="00737D71" w:rsidP="00D21AC0">
      <w:pPr>
        <w:pStyle w:val="ATitoloTavolaFigura"/>
        <w:keepNext/>
        <w:spacing w:before="0" w:after="240"/>
        <w:ind w:left="0" w:firstLine="0"/>
        <w:rPr>
          <w:rFonts w:ascii="Arial Narrow" w:hAnsi="Arial Narrow"/>
          <w:b w:val="0"/>
          <w:iCs/>
          <w:noProof/>
          <w:color w:val="1F497D" w:themeColor="text2"/>
          <w:sz w:val="22"/>
          <w:szCs w:val="22"/>
        </w:rPr>
      </w:pPr>
      <w:r w:rsidRPr="00764BD5">
        <w:rPr>
          <w:rFonts w:ascii="Arial Black" w:hAnsi="Arial Black"/>
          <w:iCs/>
          <w:noProof/>
          <w:color w:val="1F497D" w:themeColor="text2"/>
          <w:sz w:val="22"/>
          <w:szCs w:val="22"/>
        </w:rPr>
        <w:t xml:space="preserve">FIGURA 2. </w:t>
      </w:r>
      <w:r w:rsidR="00DC0CA7">
        <w:rPr>
          <w:rFonts w:ascii="Arial Narrow" w:hAnsi="Arial Narrow"/>
          <w:iCs/>
          <w:noProof/>
          <w:color w:val="1F497D" w:themeColor="text2"/>
          <w:sz w:val="22"/>
          <w:szCs w:val="22"/>
        </w:rPr>
        <w:t xml:space="preserve">SPESA MEDIANA MENSILE E SPESA MEDIA MENSILE DELLE FAMIGLIE </w:t>
      </w:r>
      <w:r w:rsidR="00381448">
        <w:rPr>
          <w:rFonts w:ascii="Arial Narrow" w:hAnsi="Arial Narrow"/>
          <w:iCs/>
          <w:noProof/>
          <w:color w:val="1F497D" w:themeColor="text2"/>
          <w:sz w:val="22"/>
          <w:szCs w:val="22"/>
        </w:rPr>
        <w:t xml:space="preserve">PER </w:t>
      </w:r>
      <w:r w:rsidR="00DC0CA7">
        <w:rPr>
          <w:rFonts w:ascii="Arial Narrow" w:hAnsi="Arial Narrow"/>
          <w:iCs/>
          <w:noProof/>
          <w:color w:val="1F497D" w:themeColor="text2"/>
          <w:sz w:val="22"/>
          <w:szCs w:val="22"/>
        </w:rPr>
        <w:t xml:space="preserve">RIPARTIZIONE GEOGRAFICA E TIPO DI COMUNE DI RESIDENZA. </w:t>
      </w:r>
      <w:r w:rsidR="00DC0CA7" w:rsidRPr="00867514">
        <w:rPr>
          <w:rFonts w:ascii="Arial Narrow" w:hAnsi="Arial Narrow"/>
          <w:b w:val="0"/>
          <w:iCs/>
          <w:noProof/>
          <w:color w:val="1F497D" w:themeColor="text2"/>
          <w:sz w:val="22"/>
          <w:szCs w:val="22"/>
        </w:rPr>
        <w:t xml:space="preserve">Anno </w:t>
      </w:r>
      <w:r w:rsidR="00C70D65">
        <w:rPr>
          <w:rFonts w:ascii="Arial Narrow" w:hAnsi="Arial Narrow"/>
          <w:b w:val="0"/>
          <w:iCs/>
          <w:noProof/>
          <w:color w:val="1F497D" w:themeColor="text2"/>
          <w:sz w:val="22"/>
          <w:szCs w:val="22"/>
        </w:rPr>
        <w:t>2020</w:t>
      </w:r>
      <w:r w:rsidR="00DC0CA7" w:rsidRPr="00867514">
        <w:rPr>
          <w:rFonts w:ascii="Arial Narrow" w:hAnsi="Arial Narrow"/>
          <w:b w:val="0"/>
          <w:iCs/>
          <w:noProof/>
          <w:color w:val="1F497D" w:themeColor="text2"/>
          <w:sz w:val="22"/>
          <w:szCs w:val="22"/>
        </w:rPr>
        <w:t>, valori in euro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61"/>
        <w:gridCol w:w="4961"/>
      </w:tblGrid>
      <w:tr w:rsidR="005C63FD" w14:paraId="2C0F721B" w14:textId="77777777" w:rsidTr="00D21AC0">
        <w:tc>
          <w:tcPr>
            <w:tcW w:w="5066" w:type="dxa"/>
          </w:tcPr>
          <w:p w14:paraId="516D8C88" w14:textId="7377D335" w:rsidR="005C63FD" w:rsidRDefault="005C63FD" w:rsidP="00D21AC0">
            <w:pPr>
              <w:pStyle w:val="ATitoloTavolaFigura"/>
              <w:keepNext/>
              <w:spacing w:before="0" w:after="120"/>
              <w:ind w:left="0" w:firstLine="0"/>
              <w:rPr>
                <w:rFonts w:ascii="Arial" w:hAnsi="Arial"/>
                <w:b w:val="0"/>
                <w:noProof/>
                <w:sz w:val="22"/>
                <w:szCs w:val="15"/>
              </w:rPr>
            </w:pPr>
            <w:r>
              <w:rPr>
                <w:noProof/>
              </w:rPr>
              <w:drawing>
                <wp:inline distT="0" distB="0" distL="0" distR="0" wp14:anchorId="4C24620F" wp14:editId="56EE8E6B">
                  <wp:extent cx="3128046" cy="2119180"/>
                  <wp:effectExtent l="0" t="0" r="0" b="0"/>
                  <wp:docPr id="9" name="Grafico 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46" w:type="dxa"/>
          </w:tcPr>
          <w:p w14:paraId="72B5306B" w14:textId="18DA7A83" w:rsidR="005C63FD" w:rsidRDefault="005C63FD">
            <w:pPr>
              <w:pStyle w:val="ATitoloTavolaFigura"/>
              <w:keepNext/>
              <w:spacing w:before="0" w:after="0"/>
              <w:ind w:left="0" w:firstLine="0"/>
              <w:rPr>
                <w:rFonts w:ascii="Arial" w:hAnsi="Arial"/>
                <w:b w:val="0"/>
                <w:noProof/>
                <w:sz w:val="22"/>
                <w:szCs w:val="15"/>
              </w:rPr>
            </w:pPr>
            <w:r>
              <w:rPr>
                <w:noProof/>
              </w:rPr>
              <w:drawing>
                <wp:inline distT="0" distB="0" distL="0" distR="0" wp14:anchorId="121D53F9" wp14:editId="109AACB0">
                  <wp:extent cx="3128046" cy="2168299"/>
                  <wp:effectExtent l="0" t="0" r="0" b="3810"/>
                  <wp:docPr id="21" name="Grafico 2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725284E" w14:textId="17D49F49" w:rsidR="00AA6B98" w:rsidRDefault="00AA6B98" w:rsidP="00D21AC0">
      <w:pPr>
        <w:pStyle w:val="ATitoloTavolaFigura"/>
        <w:spacing w:before="0" w:after="0"/>
        <w:ind w:left="0" w:firstLine="0"/>
        <w:jc w:val="left"/>
        <w:rPr>
          <w:rFonts w:ascii="Arial Narrow" w:hAnsi="Arial Narrow"/>
          <w:b w:val="0"/>
          <w:sz w:val="15"/>
          <w:szCs w:val="15"/>
        </w:rPr>
      </w:pPr>
      <w:r>
        <w:rPr>
          <w:rFonts w:ascii="Arial Narrow" w:hAnsi="Arial Narrow"/>
          <w:b w:val="0"/>
          <w:sz w:val="15"/>
          <w:szCs w:val="15"/>
        </w:rPr>
        <w:br w:type="page"/>
      </w:r>
    </w:p>
    <w:p w14:paraId="581E8FAD" w14:textId="77777777" w:rsidR="00225C62" w:rsidRDefault="00225C62" w:rsidP="004C365C">
      <w:pPr>
        <w:autoSpaceDE w:val="0"/>
        <w:autoSpaceDN w:val="0"/>
        <w:adjustRightInd w:val="0"/>
        <w:spacing w:after="120"/>
        <w:jc w:val="both"/>
        <w:rPr>
          <w:rFonts w:ascii="Arial" w:hAnsi="Arial" w:cs="Arial"/>
          <w:sz w:val="22"/>
          <w:szCs w:val="22"/>
        </w:rPr>
      </w:pPr>
    </w:p>
    <w:p w14:paraId="6A5155FE" w14:textId="11EC1E34" w:rsidR="004C365C" w:rsidRDefault="004C365C" w:rsidP="004C365C">
      <w:pPr>
        <w:autoSpaceDE w:val="0"/>
        <w:autoSpaceDN w:val="0"/>
        <w:adjustRightInd w:val="0"/>
        <w:spacing w:after="120"/>
        <w:jc w:val="both"/>
        <w:rPr>
          <w:rFonts w:ascii="Arial" w:hAnsi="Arial" w:cs="Arial"/>
          <w:sz w:val="22"/>
          <w:szCs w:val="22"/>
        </w:rPr>
      </w:pPr>
      <w:r>
        <w:rPr>
          <w:rFonts w:ascii="Arial" w:hAnsi="Arial" w:cs="Arial"/>
          <w:sz w:val="22"/>
          <w:szCs w:val="22"/>
        </w:rPr>
        <w:t xml:space="preserve">Nel 2020, </w:t>
      </w:r>
      <w:r w:rsidRPr="002A5559">
        <w:rPr>
          <w:rFonts w:ascii="Arial" w:hAnsi="Arial" w:cs="Arial"/>
          <w:sz w:val="22"/>
          <w:szCs w:val="22"/>
        </w:rPr>
        <w:t xml:space="preserve">la voce di spesa che le famiglie </w:t>
      </w:r>
      <w:r>
        <w:rPr>
          <w:rFonts w:ascii="Arial" w:hAnsi="Arial" w:cs="Arial"/>
          <w:sz w:val="22"/>
          <w:szCs w:val="22"/>
        </w:rPr>
        <w:t>han</w:t>
      </w:r>
      <w:r w:rsidRPr="002A5559">
        <w:rPr>
          <w:rFonts w:ascii="Arial" w:hAnsi="Arial" w:cs="Arial"/>
          <w:sz w:val="22"/>
          <w:szCs w:val="22"/>
        </w:rPr>
        <w:t xml:space="preserve">no maggiormente </w:t>
      </w:r>
      <w:r>
        <w:rPr>
          <w:rFonts w:ascii="Arial" w:hAnsi="Arial" w:cs="Arial"/>
          <w:sz w:val="22"/>
          <w:szCs w:val="22"/>
        </w:rPr>
        <w:t>limitato</w:t>
      </w:r>
      <w:r w:rsidRPr="002A5559">
        <w:rPr>
          <w:rFonts w:ascii="Arial" w:hAnsi="Arial" w:cs="Arial"/>
          <w:sz w:val="22"/>
          <w:szCs w:val="22"/>
        </w:rPr>
        <w:t xml:space="preserve"> </w:t>
      </w:r>
      <w:r>
        <w:rPr>
          <w:rFonts w:ascii="Arial" w:hAnsi="Arial" w:cs="Arial"/>
          <w:sz w:val="22"/>
          <w:szCs w:val="22"/>
        </w:rPr>
        <w:t>è</w:t>
      </w:r>
      <w:r w:rsidR="00213E4F">
        <w:rPr>
          <w:rFonts w:ascii="Arial" w:hAnsi="Arial" w:cs="Arial"/>
          <w:sz w:val="22"/>
          <w:szCs w:val="22"/>
        </w:rPr>
        <w:t xml:space="preserve"> infatti</w:t>
      </w:r>
      <w:r w:rsidRPr="002A5559">
        <w:rPr>
          <w:rFonts w:ascii="Arial" w:hAnsi="Arial" w:cs="Arial"/>
          <w:sz w:val="22"/>
          <w:szCs w:val="22"/>
        </w:rPr>
        <w:t xml:space="preserve"> </w:t>
      </w:r>
      <w:r w:rsidR="0067184B">
        <w:rPr>
          <w:rFonts w:ascii="Arial" w:hAnsi="Arial" w:cs="Arial"/>
          <w:sz w:val="22"/>
          <w:szCs w:val="22"/>
        </w:rPr>
        <w:t xml:space="preserve">proprio </w:t>
      </w:r>
      <w:r>
        <w:rPr>
          <w:rFonts w:ascii="Arial" w:hAnsi="Arial" w:cs="Arial"/>
          <w:sz w:val="22"/>
          <w:szCs w:val="22"/>
        </w:rPr>
        <w:t xml:space="preserve">quella per viaggi e vacanze. </w:t>
      </w:r>
      <w:r w:rsidR="00B31DE9">
        <w:rPr>
          <w:rFonts w:ascii="Arial" w:hAnsi="Arial" w:cs="Arial"/>
          <w:sz w:val="22"/>
          <w:szCs w:val="22"/>
        </w:rPr>
        <w:t xml:space="preserve">Tra quante già spendevano per questa voce nel 2019, </w:t>
      </w:r>
      <w:r w:rsidR="00B31DE9" w:rsidRPr="00D21AC0">
        <w:rPr>
          <w:rFonts w:ascii="Arial" w:hAnsi="Arial" w:cs="Arial"/>
          <w:sz w:val="22"/>
          <w:szCs w:val="22"/>
        </w:rPr>
        <w:t xml:space="preserve">la </w:t>
      </w:r>
      <w:r w:rsidRPr="00D21AC0">
        <w:rPr>
          <w:rFonts w:ascii="Arial" w:hAnsi="Arial" w:cs="Arial"/>
          <w:sz w:val="22"/>
          <w:szCs w:val="22"/>
        </w:rPr>
        <w:t xml:space="preserve">percentuale di chi l’ha ridotta rispetto all’anno precedente </w:t>
      </w:r>
      <w:r w:rsidR="00213E4F">
        <w:rPr>
          <w:rFonts w:ascii="Arial" w:hAnsi="Arial" w:cs="Arial"/>
          <w:sz w:val="22"/>
          <w:szCs w:val="22"/>
        </w:rPr>
        <w:t>è del</w:t>
      </w:r>
      <w:r w:rsidRPr="00D21AC0">
        <w:rPr>
          <w:rFonts w:ascii="Arial" w:hAnsi="Arial" w:cs="Arial"/>
          <w:sz w:val="22"/>
          <w:szCs w:val="22"/>
        </w:rPr>
        <w:t xml:space="preserve"> 46,8%</w:t>
      </w:r>
      <w:r w:rsidR="00213E4F">
        <w:rPr>
          <w:rFonts w:ascii="Arial" w:hAnsi="Arial" w:cs="Arial"/>
          <w:sz w:val="22"/>
          <w:szCs w:val="22"/>
        </w:rPr>
        <w:t>. Q</w:t>
      </w:r>
      <w:r>
        <w:rPr>
          <w:rFonts w:ascii="Arial" w:hAnsi="Arial" w:cs="Arial"/>
          <w:sz w:val="22"/>
          <w:szCs w:val="22"/>
        </w:rPr>
        <w:t>uesta</w:t>
      </w:r>
      <w:r w:rsidRPr="000304D8">
        <w:rPr>
          <w:rFonts w:ascii="Arial" w:hAnsi="Arial" w:cs="Arial"/>
          <w:sz w:val="22"/>
          <w:szCs w:val="22"/>
        </w:rPr>
        <w:t xml:space="preserve"> </w:t>
      </w:r>
      <w:r>
        <w:rPr>
          <w:rFonts w:ascii="Arial" w:hAnsi="Arial" w:cs="Arial"/>
          <w:sz w:val="22"/>
          <w:szCs w:val="22"/>
        </w:rPr>
        <w:t xml:space="preserve">percentuale </w:t>
      </w:r>
      <w:r w:rsidR="00213E4F">
        <w:rPr>
          <w:rFonts w:ascii="Arial" w:hAnsi="Arial" w:cs="Arial"/>
          <w:sz w:val="22"/>
          <w:szCs w:val="22"/>
        </w:rPr>
        <w:t>è pari al</w:t>
      </w:r>
      <w:r>
        <w:rPr>
          <w:rFonts w:ascii="Arial" w:hAnsi="Arial" w:cs="Arial"/>
          <w:sz w:val="22"/>
          <w:szCs w:val="22"/>
        </w:rPr>
        <w:t xml:space="preserve"> 44,1%</w:t>
      </w:r>
      <w:r w:rsidR="00213E4F">
        <w:rPr>
          <w:rFonts w:ascii="Arial" w:hAnsi="Arial" w:cs="Arial"/>
          <w:sz w:val="22"/>
          <w:szCs w:val="22"/>
        </w:rPr>
        <w:t xml:space="preserve"> nel Nord</w:t>
      </w:r>
      <w:r w:rsidR="00705424">
        <w:rPr>
          <w:rFonts w:ascii="Arial" w:hAnsi="Arial" w:cs="Arial"/>
          <w:sz w:val="22"/>
          <w:szCs w:val="22"/>
        </w:rPr>
        <w:t xml:space="preserve"> e nel Centro e </w:t>
      </w:r>
      <w:r w:rsidR="00213E4F">
        <w:rPr>
          <w:rFonts w:ascii="Arial" w:hAnsi="Arial" w:cs="Arial"/>
          <w:sz w:val="22"/>
          <w:szCs w:val="22"/>
        </w:rPr>
        <w:t>al 56,6% n</w:t>
      </w:r>
      <w:r>
        <w:rPr>
          <w:rFonts w:ascii="Arial" w:hAnsi="Arial" w:cs="Arial"/>
          <w:sz w:val="22"/>
          <w:szCs w:val="22"/>
        </w:rPr>
        <w:t>el Mezzogiorno</w:t>
      </w:r>
      <w:r w:rsidR="00705424">
        <w:rPr>
          <w:rFonts w:ascii="Arial" w:hAnsi="Arial" w:cs="Arial"/>
          <w:sz w:val="22"/>
          <w:szCs w:val="22"/>
        </w:rPr>
        <w:t>.</w:t>
      </w:r>
    </w:p>
    <w:p w14:paraId="7F36032F" w14:textId="539CF1E7" w:rsidR="004C365C" w:rsidRDefault="004C365C" w:rsidP="004C365C">
      <w:pPr>
        <w:autoSpaceDE w:val="0"/>
        <w:autoSpaceDN w:val="0"/>
        <w:adjustRightInd w:val="0"/>
        <w:spacing w:after="120"/>
        <w:jc w:val="both"/>
        <w:rPr>
          <w:rFonts w:ascii="Arial" w:hAnsi="Arial" w:cs="Arial"/>
          <w:sz w:val="22"/>
          <w:szCs w:val="22"/>
        </w:rPr>
      </w:pPr>
      <w:r w:rsidRPr="00BC51A5">
        <w:rPr>
          <w:rFonts w:ascii="Arial" w:hAnsi="Arial" w:cs="Arial"/>
          <w:sz w:val="22"/>
          <w:szCs w:val="22"/>
        </w:rPr>
        <w:t>A seguire, l’altra voce di spesa che, nel 2020, le famiglie hanno contenuto</w:t>
      </w:r>
      <w:r w:rsidR="00164967" w:rsidRPr="00BC51A5">
        <w:rPr>
          <w:rFonts w:ascii="Arial" w:hAnsi="Arial" w:cs="Arial"/>
          <w:sz w:val="22"/>
          <w:szCs w:val="22"/>
        </w:rPr>
        <w:t xml:space="preserve"> di</w:t>
      </w:r>
      <w:r w:rsidRPr="00BC51A5">
        <w:rPr>
          <w:rFonts w:ascii="Arial" w:hAnsi="Arial" w:cs="Arial"/>
          <w:sz w:val="22"/>
          <w:szCs w:val="22"/>
        </w:rPr>
        <w:t xml:space="preserve"> </w:t>
      </w:r>
      <w:r w:rsidR="00164967" w:rsidRPr="00BC51A5">
        <w:rPr>
          <w:rFonts w:ascii="Arial" w:hAnsi="Arial" w:cs="Arial"/>
          <w:sz w:val="22"/>
          <w:szCs w:val="22"/>
        </w:rPr>
        <w:t xml:space="preserve">più </w:t>
      </w:r>
      <w:r w:rsidRPr="00BC51A5">
        <w:rPr>
          <w:rFonts w:ascii="Arial" w:hAnsi="Arial" w:cs="Arial"/>
          <w:sz w:val="22"/>
          <w:szCs w:val="22"/>
        </w:rPr>
        <w:t xml:space="preserve">rispetto all’anno precedente è quella per </w:t>
      </w:r>
      <w:r w:rsidR="0067184B">
        <w:rPr>
          <w:rFonts w:ascii="Arial" w:hAnsi="Arial" w:cs="Arial"/>
          <w:sz w:val="22"/>
          <w:szCs w:val="22"/>
        </w:rPr>
        <w:t>a</w:t>
      </w:r>
      <w:r w:rsidR="0067184B" w:rsidRPr="00BC51A5">
        <w:rPr>
          <w:rFonts w:ascii="Arial" w:hAnsi="Arial" w:cs="Arial"/>
          <w:sz w:val="22"/>
          <w:szCs w:val="22"/>
        </w:rPr>
        <w:t xml:space="preserve">bbigliamento </w:t>
      </w:r>
      <w:r w:rsidRPr="00BC51A5">
        <w:rPr>
          <w:rFonts w:ascii="Arial" w:hAnsi="Arial" w:cs="Arial"/>
          <w:sz w:val="22"/>
          <w:szCs w:val="22"/>
        </w:rPr>
        <w:t>e calzature</w:t>
      </w:r>
      <w:r w:rsidR="00B31DE9" w:rsidRPr="00BC51A5">
        <w:rPr>
          <w:rFonts w:ascii="Arial" w:hAnsi="Arial" w:cs="Arial"/>
          <w:sz w:val="22"/>
          <w:szCs w:val="22"/>
        </w:rPr>
        <w:t xml:space="preserve">: </w:t>
      </w:r>
      <w:r w:rsidRPr="00BC51A5">
        <w:rPr>
          <w:rFonts w:ascii="Arial" w:hAnsi="Arial" w:cs="Arial"/>
          <w:sz w:val="22"/>
          <w:szCs w:val="22"/>
        </w:rPr>
        <w:t>il 45,5% di quante acquistavano già questi beni un anno prima dell’intervista ha infatti limitato l’esborso. Nel Nord</w:t>
      </w:r>
      <w:r w:rsidR="00DF6024">
        <w:rPr>
          <w:rFonts w:ascii="Arial" w:hAnsi="Arial" w:cs="Arial"/>
          <w:sz w:val="22"/>
          <w:szCs w:val="22"/>
        </w:rPr>
        <w:t xml:space="preserve"> </w:t>
      </w:r>
      <w:r w:rsidR="0067184B">
        <w:rPr>
          <w:rFonts w:ascii="Arial" w:hAnsi="Arial" w:cs="Arial"/>
          <w:sz w:val="22"/>
          <w:szCs w:val="22"/>
        </w:rPr>
        <w:t>questa percentuale è pari al</w:t>
      </w:r>
      <w:r w:rsidRPr="00BC51A5">
        <w:rPr>
          <w:rFonts w:ascii="Arial" w:hAnsi="Arial" w:cs="Arial"/>
          <w:sz w:val="22"/>
          <w:szCs w:val="22"/>
        </w:rPr>
        <w:t xml:space="preserve"> 39,6%</w:t>
      </w:r>
      <w:r w:rsidR="0067184B">
        <w:rPr>
          <w:rFonts w:ascii="Arial" w:hAnsi="Arial" w:cs="Arial"/>
          <w:sz w:val="22"/>
          <w:szCs w:val="22"/>
        </w:rPr>
        <w:t xml:space="preserve">, </w:t>
      </w:r>
      <w:r w:rsidR="00A43F99">
        <w:rPr>
          <w:rFonts w:ascii="Arial" w:hAnsi="Arial" w:cs="Arial"/>
          <w:sz w:val="22"/>
          <w:szCs w:val="22"/>
        </w:rPr>
        <w:t xml:space="preserve">nel Centro al 42,1% e </w:t>
      </w:r>
      <w:r w:rsidR="0067184B">
        <w:rPr>
          <w:rFonts w:ascii="Arial" w:hAnsi="Arial" w:cs="Arial"/>
          <w:sz w:val="22"/>
          <w:szCs w:val="22"/>
        </w:rPr>
        <w:t>nel Mezzogiorno al</w:t>
      </w:r>
      <w:r w:rsidR="00951842">
        <w:rPr>
          <w:rFonts w:ascii="Arial" w:hAnsi="Arial" w:cs="Arial"/>
          <w:sz w:val="22"/>
          <w:szCs w:val="22"/>
        </w:rPr>
        <w:t xml:space="preserve"> 56,8%</w:t>
      </w:r>
      <w:r w:rsidRPr="00BC51A5">
        <w:rPr>
          <w:rFonts w:ascii="Arial" w:hAnsi="Arial" w:cs="Arial"/>
          <w:sz w:val="22"/>
          <w:szCs w:val="22"/>
        </w:rPr>
        <w:t>.</w:t>
      </w:r>
    </w:p>
    <w:p w14:paraId="1393A1AC" w14:textId="7EB397BD" w:rsidR="00E15408" w:rsidRPr="004E692A" w:rsidRDefault="001B3FF4" w:rsidP="00272E97">
      <w:pPr>
        <w:autoSpaceDE w:val="0"/>
        <w:autoSpaceDN w:val="0"/>
        <w:adjustRightInd w:val="0"/>
        <w:spacing w:after="120"/>
        <w:jc w:val="both"/>
        <w:rPr>
          <w:rFonts w:ascii="Arial" w:hAnsi="Arial" w:cs="Arial"/>
          <w:sz w:val="22"/>
          <w:szCs w:val="22"/>
        </w:rPr>
      </w:pPr>
      <w:r w:rsidRPr="004E692A">
        <w:rPr>
          <w:rFonts w:ascii="Arial" w:hAnsi="Arial" w:cs="Arial"/>
          <w:sz w:val="22"/>
          <w:szCs w:val="22"/>
        </w:rPr>
        <w:t>All’opposto rispetto a viaggi e vacanze e ad abbigliamento e calzature, la voce di spesa che le famiglie hanno limitato in misura minore è quella per visite mediche e accertamenti periodici (15,7%), con il Nord dove questa quota scende all’11,0% e il Mezzogiorno dove sale al 24,6% (nel Centro è pari al 12,9%).</w:t>
      </w:r>
    </w:p>
    <w:p w14:paraId="4AD123E6" w14:textId="77777777" w:rsidR="001B3FF4" w:rsidRDefault="001B3FF4" w:rsidP="00272E97">
      <w:pPr>
        <w:autoSpaceDE w:val="0"/>
        <w:autoSpaceDN w:val="0"/>
        <w:adjustRightInd w:val="0"/>
        <w:spacing w:after="120"/>
        <w:jc w:val="both"/>
        <w:rPr>
          <w:rFonts w:ascii="Arial" w:hAnsi="Arial" w:cs="Arial"/>
          <w:sz w:val="22"/>
          <w:szCs w:val="22"/>
          <w:highlight w:val="yellow"/>
        </w:rPr>
      </w:pPr>
    </w:p>
    <w:p w14:paraId="55014150" w14:textId="4B76FA4E" w:rsidR="00B51FED" w:rsidRPr="00AB153D" w:rsidRDefault="00DD008B" w:rsidP="00B51FED">
      <w:pPr>
        <w:spacing w:after="120"/>
        <w:jc w:val="both"/>
        <w:outlineLvl w:val="0"/>
        <w:rPr>
          <w:rFonts w:ascii="Arial" w:hAnsi="Arial" w:cs="Arial"/>
          <w:b/>
          <w:color w:val="1F497D"/>
          <w:sz w:val="26"/>
          <w:szCs w:val="26"/>
        </w:rPr>
      </w:pPr>
      <w:r>
        <w:rPr>
          <w:rFonts w:ascii="Arial" w:hAnsi="Arial" w:cs="Arial"/>
          <w:b/>
          <w:color w:val="1F497D"/>
          <w:sz w:val="26"/>
          <w:szCs w:val="26"/>
        </w:rPr>
        <w:t xml:space="preserve">Più ampia la </w:t>
      </w:r>
      <w:r w:rsidR="00B51FED">
        <w:rPr>
          <w:rFonts w:ascii="Arial" w:hAnsi="Arial" w:cs="Arial"/>
          <w:b/>
          <w:color w:val="1F497D"/>
          <w:sz w:val="26"/>
          <w:szCs w:val="26"/>
        </w:rPr>
        <w:t>diminuzione</w:t>
      </w:r>
      <w:r w:rsidR="00B51FED" w:rsidRPr="00AB153D">
        <w:rPr>
          <w:rFonts w:ascii="Arial" w:hAnsi="Arial" w:cs="Arial"/>
          <w:b/>
          <w:color w:val="1F497D"/>
          <w:sz w:val="26"/>
          <w:szCs w:val="26"/>
        </w:rPr>
        <w:t xml:space="preserve"> </w:t>
      </w:r>
      <w:r>
        <w:rPr>
          <w:rFonts w:ascii="Arial" w:hAnsi="Arial" w:cs="Arial"/>
          <w:b/>
          <w:color w:val="1F497D"/>
          <w:sz w:val="26"/>
          <w:szCs w:val="26"/>
        </w:rPr>
        <w:t>dell</w:t>
      </w:r>
      <w:r w:rsidR="00B51FED" w:rsidRPr="00AB153D">
        <w:rPr>
          <w:rFonts w:ascii="Arial" w:hAnsi="Arial" w:cs="Arial"/>
          <w:b/>
          <w:color w:val="1F497D"/>
          <w:sz w:val="26"/>
          <w:szCs w:val="26"/>
        </w:rPr>
        <w:t xml:space="preserve">a spesa </w:t>
      </w:r>
      <w:r>
        <w:rPr>
          <w:rFonts w:ascii="Arial" w:hAnsi="Arial" w:cs="Arial"/>
          <w:b/>
          <w:color w:val="1F497D"/>
          <w:sz w:val="26"/>
          <w:szCs w:val="26"/>
        </w:rPr>
        <w:t xml:space="preserve">per </w:t>
      </w:r>
      <w:r w:rsidRPr="00AB153D">
        <w:rPr>
          <w:rFonts w:ascii="Arial" w:hAnsi="Arial" w:cs="Arial"/>
          <w:b/>
          <w:color w:val="1F497D"/>
          <w:sz w:val="26"/>
          <w:szCs w:val="26"/>
        </w:rPr>
        <w:t xml:space="preserve">le </w:t>
      </w:r>
      <w:r w:rsidR="00B51FED" w:rsidRPr="00AB153D">
        <w:rPr>
          <w:rFonts w:ascii="Arial" w:hAnsi="Arial" w:cs="Arial"/>
          <w:b/>
          <w:color w:val="1F497D"/>
          <w:sz w:val="26"/>
          <w:szCs w:val="26"/>
        </w:rPr>
        <w:t>famiglie numerose</w:t>
      </w:r>
    </w:p>
    <w:p w14:paraId="7222E458" w14:textId="0781C925" w:rsidR="00263436" w:rsidRDefault="00B51FED" w:rsidP="00745212">
      <w:pPr>
        <w:autoSpaceDE w:val="0"/>
        <w:autoSpaceDN w:val="0"/>
        <w:adjustRightInd w:val="0"/>
        <w:spacing w:after="120"/>
        <w:jc w:val="both"/>
        <w:rPr>
          <w:rFonts w:ascii="Arial" w:hAnsi="Arial" w:cs="Arial"/>
          <w:sz w:val="22"/>
        </w:rPr>
      </w:pPr>
      <w:r w:rsidRPr="003616E2">
        <w:rPr>
          <w:rFonts w:ascii="Arial" w:hAnsi="Arial" w:cs="Arial"/>
          <w:sz w:val="22"/>
        </w:rPr>
        <w:t>La spesa media mensile aumenta al crescere dell’ampiezza familiare anche se, per la presenza di economie di scala, l’incremento è meno che proporzionale rispetto all’aumentare del numero di componenti</w:t>
      </w:r>
      <w:r w:rsidR="0023288C">
        <w:rPr>
          <w:rFonts w:ascii="Arial" w:hAnsi="Arial" w:cs="Arial"/>
          <w:sz w:val="22"/>
        </w:rPr>
        <w:t>.</w:t>
      </w:r>
      <w:r w:rsidR="00263436">
        <w:rPr>
          <w:rFonts w:ascii="Arial" w:hAnsi="Arial" w:cs="Arial"/>
          <w:sz w:val="22"/>
        </w:rPr>
        <w:t xml:space="preserve"> </w:t>
      </w:r>
      <w:r w:rsidR="002821C8">
        <w:rPr>
          <w:rFonts w:ascii="Arial" w:hAnsi="Arial" w:cs="Arial"/>
          <w:sz w:val="22"/>
        </w:rPr>
        <w:t>N</w:t>
      </w:r>
      <w:r w:rsidRPr="003616E2">
        <w:rPr>
          <w:rFonts w:ascii="Arial" w:hAnsi="Arial" w:cs="Arial"/>
          <w:sz w:val="22"/>
        </w:rPr>
        <w:t>el 2020 la spesa media mensile per una famiglia di una sola persona è pari a 1.716 euro, ovvero il 72% circa di quella delle famiglie di due componenti e il 63% circa di quella delle famiglie di tre componenti.</w:t>
      </w:r>
      <w:r w:rsidR="0089775B">
        <w:rPr>
          <w:rFonts w:ascii="Arial" w:hAnsi="Arial" w:cs="Arial"/>
          <w:sz w:val="22"/>
        </w:rPr>
        <w:t xml:space="preserve"> </w:t>
      </w:r>
    </w:p>
    <w:p w14:paraId="4AFC9480" w14:textId="25930DDB" w:rsidR="00263436" w:rsidRDefault="00B51FED" w:rsidP="00745212">
      <w:pPr>
        <w:autoSpaceDE w:val="0"/>
        <w:autoSpaceDN w:val="0"/>
        <w:adjustRightInd w:val="0"/>
        <w:spacing w:after="120"/>
        <w:jc w:val="both"/>
        <w:rPr>
          <w:rFonts w:ascii="Arial" w:hAnsi="Arial" w:cs="Arial"/>
          <w:sz w:val="22"/>
        </w:rPr>
      </w:pPr>
      <w:r w:rsidRPr="003616E2">
        <w:rPr>
          <w:rFonts w:ascii="Arial" w:hAnsi="Arial" w:cs="Arial"/>
          <w:sz w:val="22"/>
        </w:rPr>
        <w:t xml:space="preserve">All’aumentare dell’ampiezza familiare cresce il peso delle voci meno suscettibili di economie di scala (come i prodotti alimentari e </w:t>
      </w:r>
      <w:r w:rsidR="00B25F3D">
        <w:rPr>
          <w:rFonts w:ascii="Arial" w:hAnsi="Arial" w:cs="Arial"/>
          <w:sz w:val="22"/>
        </w:rPr>
        <w:t xml:space="preserve">le </w:t>
      </w:r>
      <w:r w:rsidRPr="003616E2">
        <w:rPr>
          <w:rFonts w:ascii="Arial" w:hAnsi="Arial" w:cs="Arial"/>
          <w:sz w:val="22"/>
        </w:rPr>
        <w:t xml:space="preserve">bevande analcoliche) e diminuisce quello delle voci nelle quali è possibile </w:t>
      </w:r>
      <w:r w:rsidR="00787ED0">
        <w:rPr>
          <w:rFonts w:ascii="Arial" w:hAnsi="Arial" w:cs="Arial"/>
          <w:sz w:val="22"/>
        </w:rPr>
        <w:t>conseguirle</w:t>
      </w:r>
      <w:r w:rsidRPr="003616E2">
        <w:rPr>
          <w:rFonts w:ascii="Arial" w:hAnsi="Arial" w:cs="Arial"/>
          <w:sz w:val="22"/>
        </w:rPr>
        <w:t xml:space="preserve">: ad esempio, per la quota di spesa destinata ad Abitazione, acqua, elettricità, gas e altri combustibili si passa dal 46,8% delle famiglie monocomponente al 29,4% di quelle con cinque o più componenti. </w:t>
      </w:r>
      <w:r w:rsidR="003616E2" w:rsidRPr="003616E2">
        <w:rPr>
          <w:rFonts w:ascii="Arial" w:hAnsi="Arial" w:cs="Arial"/>
          <w:sz w:val="22"/>
        </w:rPr>
        <w:t>Quale</w:t>
      </w:r>
      <w:r w:rsidRPr="003616E2">
        <w:rPr>
          <w:rFonts w:ascii="Arial" w:hAnsi="Arial" w:cs="Arial"/>
          <w:sz w:val="22"/>
        </w:rPr>
        <w:t xml:space="preserve"> che sia</w:t>
      </w:r>
      <w:r w:rsidR="00D269FB">
        <w:rPr>
          <w:rFonts w:ascii="Arial" w:hAnsi="Arial" w:cs="Arial"/>
          <w:sz w:val="22"/>
        </w:rPr>
        <w:t xml:space="preserve"> </w:t>
      </w:r>
      <w:r w:rsidR="00B25F3D">
        <w:rPr>
          <w:rFonts w:ascii="Arial" w:hAnsi="Arial" w:cs="Arial"/>
          <w:sz w:val="22"/>
        </w:rPr>
        <w:t>la numerosità familiare</w:t>
      </w:r>
      <w:r w:rsidRPr="003616E2">
        <w:rPr>
          <w:rFonts w:ascii="Arial" w:hAnsi="Arial" w:cs="Arial"/>
          <w:sz w:val="22"/>
        </w:rPr>
        <w:t xml:space="preserve">, rispetto al 2019 tutte le famiglie hanno diminuito significativamente la propria spesa per consumi. </w:t>
      </w:r>
      <w:r w:rsidR="008F5E44">
        <w:rPr>
          <w:rFonts w:ascii="Arial" w:hAnsi="Arial" w:cs="Arial"/>
          <w:sz w:val="22"/>
        </w:rPr>
        <w:t>Tuttavia, l</w:t>
      </w:r>
      <w:r w:rsidRPr="003616E2">
        <w:rPr>
          <w:rFonts w:ascii="Arial" w:hAnsi="Arial" w:cs="Arial"/>
          <w:sz w:val="22"/>
        </w:rPr>
        <w:t xml:space="preserve">e famiglie di una sola persona l’hanno ridotta del 5,5%, le famiglie di 4 componenti </w:t>
      </w:r>
      <w:r w:rsidR="00263436">
        <w:rPr>
          <w:rFonts w:ascii="Arial" w:hAnsi="Arial" w:cs="Arial"/>
          <w:sz w:val="22"/>
        </w:rPr>
        <w:t>dell’</w:t>
      </w:r>
      <w:r w:rsidRPr="003616E2">
        <w:rPr>
          <w:rFonts w:ascii="Arial" w:hAnsi="Arial" w:cs="Arial"/>
          <w:sz w:val="22"/>
        </w:rPr>
        <w:t>11,4%</w:t>
      </w:r>
      <w:r w:rsidR="00263436">
        <w:rPr>
          <w:rFonts w:ascii="Arial" w:hAnsi="Arial" w:cs="Arial"/>
          <w:sz w:val="22"/>
        </w:rPr>
        <w:t>.</w:t>
      </w:r>
      <w:r w:rsidRPr="003616E2">
        <w:rPr>
          <w:rFonts w:ascii="Arial" w:hAnsi="Arial" w:cs="Arial"/>
          <w:sz w:val="22"/>
        </w:rPr>
        <w:t xml:space="preserve"> </w:t>
      </w:r>
    </w:p>
    <w:p w14:paraId="404251CE" w14:textId="335938C4" w:rsidR="00745212" w:rsidRDefault="00263436" w:rsidP="00745212">
      <w:pPr>
        <w:autoSpaceDE w:val="0"/>
        <w:autoSpaceDN w:val="0"/>
        <w:adjustRightInd w:val="0"/>
        <w:spacing w:after="120"/>
        <w:jc w:val="both"/>
        <w:rPr>
          <w:rFonts w:ascii="Arial" w:hAnsi="Arial" w:cs="Arial"/>
          <w:sz w:val="22"/>
        </w:rPr>
      </w:pPr>
      <w:r>
        <w:rPr>
          <w:rFonts w:ascii="Arial" w:hAnsi="Arial" w:cs="Arial"/>
          <w:sz w:val="22"/>
        </w:rPr>
        <w:t>Per tutte</w:t>
      </w:r>
      <w:r w:rsidR="00745212" w:rsidRPr="003616E2">
        <w:rPr>
          <w:rFonts w:ascii="Arial" w:hAnsi="Arial" w:cs="Arial"/>
          <w:sz w:val="22"/>
        </w:rPr>
        <w:t xml:space="preserve"> le differenti tipologie familiari, ad eccezione delle persone sole di 18-34 anni e delle coppie senza figli con persona di riferimento di 18-34 anni, si rileva una diminuzione significativa della spesa complessiva</w:t>
      </w:r>
      <w:r>
        <w:rPr>
          <w:rFonts w:ascii="Arial" w:hAnsi="Arial" w:cs="Arial"/>
          <w:sz w:val="22"/>
        </w:rPr>
        <w:t xml:space="preserve"> rispetto al 2019</w:t>
      </w:r>
      <w:r w:rsidR="00745212" w:rsidRPr="003616E2">
        <w:rPr>
          <w:rFonts w:ascii="Arial" w:hAnsi="Arial" w:cs="Arial"/>
          <w:sz w:val="22"/>
        </w:rPr>
        <w:t xml:space="preserve">. </w:t>
      </w:r>
    </w:p>
    <w:p w14:paraId="6F1C4E1F" w14:textId="16EE467F" w:rsidR="002B4855" w:rsidRDefault="00E54B3D" w:rsidP="002B4855">
      <w:pPr>
        <w:autoSpaceDE w:val="0"/>
        <w:autoSpaceDN w:val="0"/>
        <w:adjustRightInd w:val="0"/>
        <w:spacing w:after="120"/>
        <w:jc w:val="both"/>
        <w:rPr>
          <w:rFonts w:ascii="Arial" w:hAnsi="Arial" w:cs="Arial"/>
          <w:sz w:val="22"/>
        </w:rPr>
      </w:pPr>
      <w:r>
        <w:rPr>
          <w:rFonts w:ascii="Arial" w:hAnsi="Arial" w:cs="Arial"/>
          <w:sz w:val="22"/>
        </w:rPr>
        <w:t>Sono</w:t>
      </w:r>
      <w:r w:rsidR="002B4855" w:rsidRPr="003616E2">
        <w:rPr>
          <w:rFonts w:ascii="Arial" w:hAnsi="Arial" w:cs="Arial"/>
          <w:sz w:val="22"/>
        </w:rPr>
        <w:t xml:space="preserve"> le coppie senza figli con persona di riferimento di 65 anni e più, le coppie con due figli e quelle con tre o più figli, </w:t>
      </w:r>
      <w:r>
        <w:rPr>
          <w:rFonts w:ascii="Arial" w:hAnsi="Arial" w:cs="Arial"/>
          <w:sz w:val="22"/>
        </w:rPr>
        <w:t xml:space="preserve">ad aver ridotto </w:t>
      </w:r>
      <w:r w:rsidR="002B4855" w:rsidRPr="003616E2">
        <w:rPr>
          <w:rFonts w:ascii="Arial" w:hAnsi="Arial" w:cs="Arial"/>
          <w:sz w:val="22"/>
        </w:rPr>
        <w:t>la loro spesa di oltre l’11%. La spesa per Alimentari e bevande analcoliche pesa soprattutto tra le famiglie composte da una coppia con tre o più figli (24,0% della spesa totale); la stessa voce di spesa assorbe, invece, il 15,4% tra le persone sole di 18-34</w:t>
      </w:r>
      <w:r w:rsidR="002B4855">
        <w:rPr>
          <w:rFonts w:ascii="Arial" w:hAnsi="Arial" w:cs="Arial"/>
          <w:sz w:val="22"/>
        </w:rPr>
        <w:t xml:space="preserve"> anni</w:t>
      </w:r>
      <w:r w:rsidR="002B4855" w:rsidRPr="003616E2">
        <w:rPr>
          <w:rFonts w:ascii="Arial" w:hAnsi="Arial" w:cs="Arial"/>
          <w:sz w:val="22"/>
        </w:rPr>
        <w:t>.</w:t>
      </w:r>
      <w:r w:rsidR="002B4855">
        <w:rPr>
          <w:rFonts w:ascii="Arial" w:hAnsi="Arial" w:cs="Arial"/>
          <w:sz w:val="22"/>
        </w:rPr>
        <w:t xml:space="preserve"> </w:t>
      </w:r>
    </w:p>
    <w:p w14:paraId="21BC200B" w14:textId="43360076" w:rsidR="002F742A" w:rsidRDefault="002F742A" w:rsidP="00B80E16">
      <w:pPr>
        <w:autoSpaceDE w:val="0"/>
        <w:autoSpaceDN w:val="0"/>
        <w:adjustRightInd w:val="0"/>
        <w:jc w:val="both"/>
        <w:rPr>
          <w:rFonts w:ascii="Arial" w:hAnsi="Arial" w:cs="Arial"/>
          <w:sz w:val="22"/>
        </w:rPr>
      </w:pPr>
    </w:p>
    <w:p w14:paraId="09BC8ABC" w14:textId="15AC3546" w:rsidR="002F742A" w:rsidRDefault="002F742A" w:rsidP="00B80E16">
      <w:pPr>
        <w:autoSpaceDE w:val="0"/>
        <w:autoSpaceDN w:val="0"/>
        <w:adjustRightInd w:val="0"/>
        <w:jc w:val="both"/>
        <w:rPr>
          <w:rFonts w:ascii="Arial" w:hAnsi="Arial" w:cs="Arial"/>
          <w:sz w:val="22"/>
        </w:rPr>
      </w:pPr>
    </w:p>
    <w:p w14:paraId="0A8474E8" w14:textId="77777777" w:rsidR="002D166C" w:rsidRDefault="002D166C" w:rsidP="00B80E16">
      <w:pPr>
        <w:autoSpaceDE w:val="0"/>
        <w:autoSpaceDN w:val="0"/>
        <w:adjustRightInd w:val="0"/>
        <w:jc w:val="both"/>
        <w:rPr>
          <w:rFonts w:ascii="Arial" w:hAnsi="Arial" w:cs="Arial"/>
          <w:sz w:val="22"/>
        </w:rPr>
      </w:pPr>
    </w:p>
    <w:p w14:paraId="1DE3EE26" w14:textId="54907F3E" w:rsidR="003865FA" w:rsidRDefault="004C365C" w:rsidP="00B939A4">
      <w:pPr>
        <w:pStyle w:val="ATitoloTavolaFigura"/>
        <w:keepNext/>
        <w:spacing w:before="0" w:after="0"/>
        <w:ind w:left="0" w:firstLine="0"/>
        <w:rPr>
          <w:rFonts w:ascii="Arial Narrow" w:hAnsi="Arial Narrow"/>
          <w:b w:val="0"/>
          <w:iCs/>
          <w:noProof/>
          <w:color w:val="1F497D" w:themeColor="text2"/>
          <w:sz w:val="22"/>
          <w:szCs w:val="22"/>
        </w:rPr>
      </w:pPr>
      <w:r>
        <w:rPr>
          <w:rFonts w:ascii="Arial Black" w:hAnsi="Arial Black"/>
          <w:iCs/>
          <w:noProof/>
          <w:color w:val="1F497D" w:themeColor="text2"/>
          <w:sz w:val="22"/>
          <w:szCs w:val="22"/>
        </w:rPr>
        <w:t>F</w:t>
      </w:r>
      <w:r w:rsidR="003865FA" w:rsidRPr="00CC09D8">
        <w:rPr>
          <w:rFonts w:ascii="Arial Black" w:hAnsi="Arial Black"/>
          <w:iCs/>
          <w:noProof/>
          <w:color w:val="1F497D" w:themeColor="text2"/>
          <w:sz w:val="22"/>
          <w:szCs w:val="22"/>
        </w:rPr>
        <w:t xml:space="preserve">IGURA </w:t>
      </w:r>
      <w:r w:rsidR="003A4863">
        <w:rPr>
          <w:rFonts w:ascii="Arial Black" w:hAnsi="Arial Black"/>
          <w:iCs/>
          <w:noProof/>
          <w:color w:val="1F497D" w:themeColor="text2"/>
          <w:sz w:val="22"/>
          <w:szCs w:val="22"/>
        </w:rPr>
        <w:t>3</w:t>
      </w:r>
      <w:r w:rsidR="003865FA" w:rsidRPr="00CC09D8">
        <w:rPr>
          <w:rFonts w:ascii="Arial Black" w:hAnsi="Arial Black"/>
          <w:iCs/>
          <w:noProof/>
          <w:color w:val="1F497D" w:themeColor="text2"/>
          <w:sz w:val="22"/>
          <w:szCs w:val="22"/>
        </w:rPr>
        <w:t>.</w:t>
      </w:r>
      <w:r w:rsidR="003865FA" w:rsidRPr="00EA4D4F">
        <w:rPr>
          <w:rFonts w:ascii="Arial" w:hAnsi="Arial"/>
          <w:iCs/>
        </w:rPr>
        <w:t xml:space="preserve"> </w:t>
      </w:r>
      <w:r w:rsidR="00680517" w:rsidRPr="00680517">
        <w:rPr>
          <w:rFonts w:ascii="Arial Narrow" w:hAnsi="Arial Narrow"/>
          <w:iCs/>
          <w:noProof/>
          <w:color w:val="1F497D" w:themeColor="text2"/>
          <w:sz w:val="22"/>
          <w:szCs w:val="22"/>
        </w:rPr>
        <w:t xml:space="preserve">FAMIGLIE PER COMPORTAMENTO DI SPESA </w:t>
      </w:r>
      <w:r w:rsidR="00336603" w:rsidRPr="00336603">
        <w:rPr>
          <w:rFonts w:ascii="Arial Narrow" w:hAnsi="Arial Narrow"/>
          <w:iCs/>
          <w:noProof/>
          <w:color w:val="1F497D" w:themeColor="text2"/>
          <w:sz w:val="22"/>
          <w:szCs w:val="22"/>
        </w:rPr>
        <w:t>RISPETTO AD ALCUNI BENI E SERVIZI CHE GIÀ SI ACQUISTAVANO UN ANNO PRIMA DELL'INTERVISTA</w:t>
      </w:r>
      <w:r w:rsidR="00680517" w:rsidRPr="00F17C46">
        <w:rPr>
          <w:rFonts w:ascii="Arial Narrow" w:hAnsi="Arial Narrow"/>
          <w:iCs/>
          <w:noProof/>
          <w:color w:val="1F497D" w:themeColor="text2"/>
          <w:sz w:val="22"/>
          <w:szCs w:val="22"/>
        </w:rPr>
        <w:t xml:space="preserve">. </w:t>
      </w:r>
      <w:r w:rsidR="003865FA" w:rsidRPr="00F17C46">
        <w:rPr>
          <w:rFonts w:ascii="Arial Narrow" w:hAnsi="Arial Narrow"/>
          <w:b w:val="0"/>
          <w:iCs/>
          <w:noProof/>
          <w:color w:val="1F497D" w:themeColor="text2"/>
          <w:sz w:val="22"/>
          <w:szCs w:val="22"/>
        </w:rPr>
        <w:t>Ann</w:t>
      </w:r>
      <w:r w:rsidR="00A047E0" w:rsidRPr="00F17C46">
        <w:rPr>
          <w:rFonts w:ascii="Arial Narrow" w:hAnsi="Arial Narrow"/>
          <w:b w:val="0"/>
          <w:iCs/>
          <w:noProof/>
          <w:color w:val="1F497D" w:themeColor="text2"/>
          <w:sz w:val="22"/>
          <w:szCs w:val="22"/>
        </w:rPr>
        <w:t>o</w:t>
      </w:r>
      <w:r w:rsidR="003865FA" w:rsidRPr="00F17C46">
        <w:rPr>
          <w:rFonts w:ascii="Arial Narrow" w:hAnsi="Arial Narrow"/>
          <w:b w:val="0"/>
          <w:iCs/>
          <w:noProof/>
          <w:color w:val="1F497D" w:themeColor="text2"/>
          <w:sz w:val="22"/>
          <w:szCs w:val="22"/>
        </w:rPr>
        <w:t xml:space="preserve"> </w:t>
      </w:r>
      <w:r w:rsidR="00C70D65">
        <w:rPr>
          <w:rFonts w:ascii="Arial Narrow" w:hAnsi="Arial Narrow"/>
          <w:b w:val="0"/>
          <w:iCs/>
          <w:noProof/>
          <w:color w:val="1F497D" w:themeColor="text2"/>
          <w:sz w:val="22"/>
          <w:szCs w:val="22"/>
        </w:rPr>
        <w:t>2020</w:t>
      </w:r>
      <w:r w:rsidR="003865FA" w:rsidRPr="00F17C46">
        <w:rPr>
          <w:rFonts w:ascii="Arial Narrow" w:hAnsi="Arial Narrow"/>
          <w:b w:val="0"/>
          <w:iCs/>
          <w:noProof/>
          <w:color w:val="1F497D" w:themeColor="text2"/>
          <w:sz w:val="22"/>
          <w:szCs w:val="22"/>
        </w:rPr>
        <w:t>,</w:t>
      </w:r>
      <w:r w:rsidR="003865FA" w:rsidRPr="006F67CF">
        <w:rPr>
          <w:rFonts w:ascii="Arial Narrow" w:hAnsi="Arial Narrow"/>
          <w:b w:val="0"/>
          <w:iCs/>
          <w:noProof/>
          <w:color w:val="1F497D" w:themeColor="text2"/>
          <w:sz w:val="22"/>
          <w:szCs w:val="22"/>
        </w:rPr>
        <w:t xml:space="preserve"> </w:t>
      </w:r>
      <w:r w:rsidR="0046598C">
        <w:rPr>
          <w:rFonts w:ascii="Arial Narrow" w:hAnsi="Arial Narrow"/>
          <w:b w:val="0"/>
          <w:iCs/>
          <w:noProof/>
          <w:color w:val="1F497D" w:themeColor="text2"/>
          <w:sz w:val="22"/>
          <w:szCs w:val="22"/>
        </w:rPr>
        <w:t>composizione percentuale</w:t>
      </w:r>
    </w:p>
    <w:p w14:paraId="4B3896E8" w14:textId="71B8746B" w:rsidR="00256E45" w:rsidRPr="00D74659" w:rsidRDefault="00256E45" w:rsidP="00B939A4">
      <w:pPr>
        <w:pStyle w:val="ATitoloTavolaFigura"/>
        <w:keepNext/>
        <w:spacing w:before="0" w:after="0"/>
        <w:ind w:left="0" w:firstLine="0"/>
        <w:rPr>
          <w:rFonts w:ascii="Arial Narrow" w:hAnsi="Arial Narrow"/>
          <w:b w:val="0"/>
          <w:iCs/>
          <w:noProof/>
          <w:color w:val="1F497D" w:themeColor="text2"/>
          <w:sz w:val="14"/>
          <w:szCs w:val="6"/>
        </w:rPr>
      </w:pPr>
    </w:p>
    <w:p w14:paraId="5A48BAB4" w14:textId="5EA709ED" w:rsidR="005F2E41" w:rsidRDefault="005F2E41" w:rsidP="00B939A4">
      <w:pPr>
        <w:pStyle w:val="ATitoloTavolaFigura"/>
        <w:keepNext/>
        <w:spacing w:before="0" w:after="0"/>
        <w:ind w:left="0" w:firstLine="0"/>
        <w:rPr>
          <w:rFonts w:ascii="Arial Narrow" w:hAnsi="Arial Narrow"/>
          <w:b w:val="0"/>
          <w:iCs/>
          <w:noProof/>
          <w:color w:val="1F497D" w:themeColor="text2"/>
          <w:sz w:val="12"/>
          <w:szCs w:val="6"/>
        </w:rPr>
      </w:pPr>
      <w:r>
        <w:rPr>
          <w:noProof/>
        </w:rPr>
        <w:drawing>
          <wp:inline distT="0" distB="0" distL="0" distR="0" wp14:anchorId="29E9DB6C" wp14:editId="77C3740C">
            <wp:extent cx="6300000" cy="2160000"/>
            <wp:effectExtent l="0" t="0" r="0" b="0"/>
            <wp:docPr id="23" name="Grafico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0022E6" w14:textId="04BEB376" w:rsidR="00272E97" w:rsidRPr="002D166C" w:rsidRDefault="00272E97" w:rsidP="00B939A4">
      <w:pPr>
        <w:pStyle w:val="ATitoloTavolaFigura"/>
        <w:keepNext/>
        <w:spacing w:before="0" w:after="0"/>
        <w:ind w:left="0" w:firstLine="0"/>
        <w:rPr>
          <w:rFonts w:ascii="Arial Narrow" w:hAnsi="Arial Narrow"/>
          <w:b w:val="0"/>
          <w:iCs/>
          <w:noProof/>
          <w:sz w:val="16"/>
          <w:szCs w:val="22"/>
        </w:rPr>
      </w:pPr>
      <w:r w:rsidRPr="002D166C">
        <w:rPr>
          <w:rFonts w:ascii="Arial Narrow" w:hAnsi="Arial Narrow"/>
          <w:b w:val="0"/>
          <w:iCs/>
          <w:noProof/>
          <w:sz w:val="16"/>
          <w:szCs w:val="22"/>
        </w:rPr>
        <w:br w:type="page"/>
      </w:r>
    </w:p>
    <w:p w14:paraId="53570CA1" w14:textId="77777777" w:rsidR="00263436" w:rsidRDefault="00263436" w:rsidP="00B51FED">
      <w:pPr>
        <w:autoSpaceDE w:val="0"/>
        <w:autoSpaceDN w:val="0"/>
        <w:adjustRightInd w:val="0"/>
        <w:spacing w:after="120"/>
        <w:jc w:val="both"/>
        <w:rPr>
          <w:rFonts w:ascii="Arial" w:hAnsi="Arial" w:cs="Arial"/>
          <w:sz w:val="22"/>
        </w:rPr>
      </w:pPr>
    </w:p>
    <w:p w14:paraId="1C3EBD7A" w14:textId="6B6D44D5" w:rsidR="004C365C" w:rsidRDefault="00787ED0" w:rsidP="00B51FED">
      <w:pPr>
        <w:autoSpaceDE w:val="0"/>
        <w:autoSpaceDN w:val="0"/>
        <w:adjustRightInd w:val="0"/>
        <w:spacing w:after="120"/>
        <w:jc w:val="both"/>
        <w:rPr>
          <w:rFonts w:ascii="Arial" w:hAnsi="Arial" w:cs="Arial"/>
          <w:snapToGrid w:val="0"/>
          <w:sz w:val="22"/>
        </w:rPr>
      </w:pPr>
      <w:r>
        <w:rPr>
          <w:rFonts w:ascii="Arial" w:hAnsi="Arial" w:cs="Arial"/>
          <w:snapToGrid w:val="0"/>
          <w:sz w:val="22"/>
        </w:rPr>
        <w:t>Per le</w:t>
      </w:r>
      <w:r w:rsidR="004C365C" w:rsidRPr="003616E2">
        <w:rPr>
          <w:rFonts w:ascii="Arial" w:hAnsi="Arial" w:cs="Arial"/>
          <w:snapToGrid w:val="0"/>
          <w:sz w:val="22"/>
        </w:rPr>
        <w:t xml:space="preserve"> altre tipologie familiari, le spese per Abitazione, acqua, elettricità, gas e combustibili pesano di più per le persone anziane sole (50,6% della spesa mensile) e meno per le coppie con tre o più figli (29,4%). Invece, le persone sole giovani di 18-34 anni spendono per Trasporti la quota più elevata (12,1%</w:t>
      </w:r>
      <w:r w:rsidR="00263436">
        <w:rPr>
          <w:rFonts w:ascii="Arial" w:hAnsi="Arial" w:cs="Arial"/>
          <w:snapToGrid w:val="0"/>
          <w:sz w:val="22"/>
        </w:rPr>
        <w:t xml:space="preserve">; </w:t>
      </w:r>
      <w:r w:rsidR="004C365C" w:rsidRPr="003616E2">
        <w:rPr>
          <w:rFonts w:ascii="Arial" w:hAnsi="Arial" w:cs="Arial"/>
          <w:snapToGrid w:val="0"/>
          <w:sz w:val="22"/>
        </w:rPr>
        <w:t>213 euro mensili), seguite dalle coppie senza figli con persona di riferimento di 18-34 anni (11,4%</w:t>
      </w:r>
      <w:r w:rsidR="00263436">
        <w:rPr>
          <w:rFonts w:ascii="Arial" w:hAnsi="Arial" w:cs="Arial"/>
          <w:snapToGrid w:val="0"/>
          <w:sz w:val="22"/>
        </w:rPr>
        <w:t xml:space="preserve">; </w:t>
      </w:r>
      <w:r w:rsidR="004C365C" w:rsidRPr="003616E2">
        <w:rPr>
          <w:rFonts w:ascii="Arial" w:hAnsi="Arial" w:cs="Arial"/>
          <w:snapToGrid w:val="0"/>
          <w:sz w:val="22"/>
        </w:rPr>
        <w:t>316 euro al mese), anche a causa di una maggiore mobilità lavorativa, di studio e familiare.</w:t>
      </w:r>
    </w:p>
    <w:p w14:paraId="4BEFCAD0" w14:textId="77777777" w:rsidR="0014586D" w:rsidRDefault="00B51FED" w:rsidP="00F92292">
      <w:pPr>
        <w:autoSpaceDE w:val="0"/>
        <w:autoSpaceDN w:val="0"/>
        <w:adjustRightInd w:val="0"/>
        <w:spacing w:after="120"/>
        <w:jc w:val="both"/>
        <w:rPr>
          <w:rFonts w:ascii="Arial" w:hAnsi="Arial" w:cs="Arial"/>
          <w:sz w:val="22"/>
        </w:rPr>
      </w:pPr>
      <w:r w:rsidRPr="003616E2">
        <w:rPr>
          <w:rFonts w:ascii="Arial" w:hAnsi="Arial" w:cs="Arial"/>
          <w:sz w:val="22"/>
        </w:rPr>
        <w:t>Al crescere del livello di istruzione della persona di riferimento</w:t>
      </w:r>
      <w:r w:rsidR="005653D0">
        <w:rPr>
          <w:rFonts w:ascii="Arial" w:hAnsi="Arial" w:cs="Arial"/>
          <w:sz w:val="22"/>
        </w:rPr>
        <w:t>,</w:t>
      </w:r>
      <w:r w:rsidRPr="003616E2">
        <w:rPr>
          <w:rFonts w:ascii="Arial" w:hAnsi="Arial" w:cs="Arial"/>
          <w:sz w:val="22"/>
        </w:rPr>
        <w:t xml:space="preserve"> </w:t>
      </w:r>
      <w:r w:rsidR="008F4F76">
        <w:rPr>
          <w:rFonts w:ascii="Arial" w:hAnsi="Arial" w:cs="Arial"/>
          <w:sz w:val="22"/>
        </w:rPr>
        <w:t>migliora la condizione</w:t>
      </w:r>
      <w:r w:rsidRPr="003616E2">
        <w:rPr>
          <w:rFonts w:ascii="Arial" w:hAnsi="Arial" w:cs="Arial"/>
          <w:sz w:val="22"/>
        </w:rPr>
        <w:t xml:space="preserve"> economic</w:t>
      </w:r>
      <w:r w:rsidR="008F4F76">
        <w:rPr>
          <w:rFonts w:ascii="Arial" w:hAnsi="Arial" w:cs="Arial"/>
          <w:sz w:val="22"/>
        </w:rPr>
        <w:t>a</w:t>
      </w:r>
      <w:r w:rsidRPr="003616E2">
        <w:rPr>
          <w:rFonts w:ascii="Arial" w:hAnsi="Arial" w:cs="Arial"/>
          <w:sz w:val="22"/>
        </w:rPr>
        <w:t xml:space="preserve"> e, di conseguenza, il livello delle spese. Si passa</w:t>
      </w:r>
      <w:r w:rsidR="006D0A90">
        <w:rPr>
          <w:rFonts w:ascii="Arial" w:hAnsi="Arial" w:cs="Arial"/>
          <w:sz w:val="22"/>
        </w:rPr>
        <w:t>,</w:t>
      </w:r>
      <w:r w:rsidRPr="003616E2">
        <w:rPr>
          <w:rFonts w:ascii="Arial" w:hAnsi="Arial" w:cs="Arial"/>
          <w:sz w:val="22"/>
        </w:rPr>
        <w:t xml:space="preserve"> infatti</w:t>
      </w:r>
      <w:r w:rsidR="006D0A90">
        <w:rPr>
          <w:rFonts w:ascii="Arial" w:hAnsi="Arial" w:cs="Arial"/>
          <w:sz w:val="22"/>
        </w:rPr>
        <w:t>,</w:t>
      </w:r>
      <w:r w:rsidRPr="003616E2">
        <w:rPr>
          <w:rFonts w:ascii="Arial" w:hAnsi="Arial" w:cs="Arial"/>
          <w:sz w:val="22"/>
        </w:rPr>
        <w:t xml:space="preserve"> dai 1.596 euro mensili delle famiglie in cui la persona di riferimento ha al massimo la licenza elementare ai 3.169 euro di quelle con persona di riferimento con titolo universitario. </w:t>
      </w:r>
    </w:p>
    <w:p w14:paraId="02B08A04" w14:textId="4DFBDB6A" w:rsidR="00B51FED" w:rsidRPr="003616E2" w:rsidRDefault="00B51FED" w:rsidP="00F92292">
      <w:pPr>
        <w:autoSpaceDE w:val="0"/>
        <w:autoSpaceDN w:val="0"/>
        <w:adjustRightInd w:val="0"/>
        <w:spacing w:after="120"/>
        <w:jc w:val="both"/>
        <w:rPr>
          <w:rFonts w:ascii="Arial" w:hAnsi="Arial" w:cs="Arial"/>
          <w:sz w:val="22"/>
        </w:rPr>
      </w:pPr>
      <w:r w:rsidRPr="003616E2">
        <w:rPr>
          <w:rFonts w:ascii="Arial" w:hAnsi="Arial" w:cs="Arial"/>
          <w:sz w:val="22"/>
        </w:rPr>
        <w:t xml:space="preserve">Rispetto al 2019 tutte le famiglie hanno diminuito la loro spesa per consumi, </w:t>
      </w:r>
      <w:r w:rsidR="005653D0">
        <w:rPr>
          <w:rFonts w:ascii="Arial" w:hAnsi="Arial" w:cs="Arial"/>
          <w:sz w:val="22"/>
        </w:rPr>
        <w:t xml:space="preserve">ma sono </w:t>
      </w:r>
      <w:r w:rsidRPr="003616E2">
        <w:rPr>
          <w:rFonts w:ascii="Arial" w:hAnsi="Arial" w:cs="Arial"/>
          <w:sz w:val="22"/>
        </w:rPr>
        <w:t xml:space="preserve">quelle con persona di riferimento con laurea o post-laurea </w:t>
      </w:r>
      <w:r w:rsidR="005653D0">
        <w:rPr>
          <w:rFonts w:ascii="Arial" w:hAnsi="Arial" w:cs="Arial"/>
          <w:sz w:val="22"/>
        </w:rPr>
        <w:t xml:space="preserve">a registrare la flessione più ampia </w:t>
      </w:r>
      <w:r w:rsidRPr="003616E2">
        <w:rPr>
          <w:rFonts w:ascii="Arial" w:hAnsi="Arial" w:cs="Arial"/>
          <w:sz w:val="22"/>
        </w:rPr>
        <w:t>(-11,6%)</w:t>
      </w:r>
      <w:r w:rsidR="005653D0">
        <w:rPr>
          <w:rFonts w:ascii="Arial" w:hAnsi="Arial" w:cs="Arial"/>
          <w:sz w:val="22"/>
        </w:rPr>
        <w:t xml:space="preserve"> anche perché </w:t>
      </w:r>
      <w:r w:rsidRPr="003616E2">
        <w:rPr>
          <w:rFonts w:ascii="Arial" w:hAnsi="Arial" w:cs="Arial"/>
          <w:sz w:val="22"/>
        </w:rPr>
        <w:t xml:space="preserve">riservano quote di spesa più elevate </w:t>
      </w:r>
      <w:r w:rsidR="005653D0">
        <w:rPr>
          <w:rFonts w:ascii="Arial" w:hAnsi="Arial" w:cs="Arial"/>
          <w:sz w:val="22"/>
        </w:rPr>
        <w:t>a comparti merceologici che più di altri hanno risentito delle conseguenze della crisi sanitaria</w:t>
      </w:r>
      <w:r w:rsidR="00B80E16">
        <w:rPr>
          <w:rFonts w:ascii="Arial" w:hAnsi="Arial" w:cs="Arial"/>
          <w:sz w:val="22"/>
        </w:rPr>
        <w:t>,</w:t>
      </w:r>
      <w:r w:rsidR="005653D0">
        <w:rPr>
          <w:rFonts w:ascii="Arial" w:hAnsi="Arial" w:cs="Arial"/>
          <w:sz w:val="22"/>
        </w:rPr>
        <w:t xml:space="preserve"> quali Servizi ricettivi e di ristorazione </w:t>
      </w:r>
      <w:r w:rsidR="005653D0" w:rsidRPr="00C1674B">
        <w:rPr>
          <w:rFonts w:ascii="Arial" w:hAnsi="Arial" w:cs="Arial"/>
          <w:sz w:val="22"/>
        </w:rPr>
        <w:t>(</w:t>
      </w:r>
      <w:r w:rsidR="00C1674B" w:rsidRPr="00C1674B">
        <w:rPr>
          <w:rFonts w:ascii="Arial" w:hAnsi="Arial" w:cs="Arial"/>
          <w:sz w:val="22"/>
        </w:rPr>
        <w:t>4,4%</w:t>
      </w:r>
      <w:r w:rsidR="005653D0" w:rsidRPr="00C1674B">
        <w:rPr>
          <w:rFonts w:ascii="Arial" w:hAnsi="Arial" w:cs="Arial"/>
          <w:sz w:val="22"/>
        </w:rPr>
        <w:t>, 6,9% nel 2019)</w:t>
      </w:r>
      <w:r w:rsidR="005653D0">
        <w:rPr>
          <w:rFonts w:ascii="Arial" w:hAnsi="Arial" w:cs="Arial"/>
          <w:sz w:val="22"/>
        </w:rPr>
        <w:t xml:space="preserve"> e</w:t>
      </w:r>
      <w:r w:rsidRPr="003616E2">
        <w:rPr>
          <w:rFonts w:ascii="Arial" w:hAnsi="Arial" w:cs="Arial"/>
          <w:sz w:val="22"/>
        </w:rPr>
        <w:t xml:space="preserve"> Ricreazione, spettacoli e cultura (5,1%</w:t>
      </w:r>
      <w:r w:rsidR="006D0A90">
        <w:rPr>
          <w:rFonts w:ascii="Arial" w:hAnsi="Arial" w:cs="Arial"/>
          <w:sz w:val="22"/>
        </w:rPr>
        <w:t>, il 6,2% nel 2019</w:t>
      </w:r>
      <w:r w:rsidRPr="003616E2">
        <w:rPr>
          <w:rFonts w:ascii="Arial" w:hAnsi="Arial" w:cs="Arial"/>
          <w:sz w:val="22"/>
        </w:rPr>
        <w:t xml:space="preserve">). </w:t>
      </w:r>
    </w:p>
    <w:p w14:paraId="49AB5B99" w14:textId="77777777" w:rsidR="00B51FED" w:rsidRDefault="00B51FED" w:rsidP="00B51FED">
      <w:pPr>
        <w:spacing w:after="120"/>
        <w:jc w:val="both"/>
        <w:rPr>
          <w:rFonts w:ascii="Arial" w:hAnsi="Arial" w:cs="Arial"/>
        </w:rPr>
      </w:pPr>
    </w:p>
    <w:p w14:paraId="4DE5D380" w14:textId="2CAE00BA" w:rsidR="00B51FED" w:rsidRPr="00745D8E" w:rsidRDefault="00CE08D5" w:rsidP="00B51FED">
      <w:pPr>
        <w:autoSpaceDE w:val="0"/>
        <w:autoSpaceDN w:val="0"/>
        <w:adjustRightInd w:val="0"/>
        <w:spacing w:after="120"/>
        <w:jc w:val="both"/>
        <w:rPr>
          <w:rFonts w:ascii="Arial" w:hAnsi="Arial" w:cs="Arial"/>
          <w:b/>
          <w:color w:val="1F497D"/>
          <w:sz w:val="26"/>
          <w:szCs w:val="26"/>
          <w:highlight w:val="yellow"/>
        </w:rPr>
      </w:pPr>
      <w:r>
        <w:rPr>
          <w:rFonts w:ascii="Arial" w:hAnsi="Arial" w:cs="Arial"/>
          <w:b/>
          <w:color w:val="1F497D"/>
          <w:sz w:val="26"/>
          <w:szCs w:val="26"/>
        </w:rPr>
        <w:t>In forte calo anche le spese delle famiglie di imprenditori e liberi professionisti</w:t>
      </w:r>
    </w:p>
    <w:p w14:paraId="545A132C" w14:textId="77777777" w:rsidR="00672710" w:rsidRDefault="00C36FC0" w:rsidP="00672710">
      <w:pPr>
        <w:spacing w:after="120"/>
        <w:jc w:val="both"/>
        <w:rPr>
          <w:rFonts w:ascii="Arial" w:hAnsi="Arial" w:cs="Arial"/>
          <w:sz w:val="22"/>
          <w:szCs w:val="22"/>
        </w:rPr>
      </w:pPr>
      <w:r>
        <w:rPr>
          <w:rFonts w:ascii="Arial" w:hAnsi="Arial" w:cs="Arial"/>
          <w:sz w:val="22"/>
          <w:szCs w:val="22"/>
        </w:rPr>
        <w:t>A</w:t>
      </w:r>
      <w:r w:rsidR="00B51FED" w:rsidRPr="00774FBC">
        <w:rPr>
          <w:rFonts w:ascii="Arial" w:hAnsi="Arial" w:cs="Arial"/>
          <w:sz w:val="22"/>
          <w:szCs w:val="22"/>
        </w:rPr>
        <w:t>nche la condizione professionale della persona di riferimento della famiglia, che ne caratterizza fortemente le condizioni economiche e gli stili di vita</w:t>
      </w:r>
      <w:r>
        <w:rPr>
          <w:rFonts w:ascii="Arial" w:hAnsi="Arial" w:cs="Arial"/>
          <w:sz w:val="22"/>
          <w:szCs w:val="22"/>
        </w:rPr>
        <w:t>, influenza la composizione della spesa mensile</w:t>
      </w:r>
      <w:r w:rsidR="00B51FED" w:rsidRPr="00774FBC">
        <w:rPr>
          <w:rFonts w:ascii="Arial" w:hAnsi="Arial" w:cs="Arial"/>
          <w:sz w:val="22"/>
          <w:szCs w:val="22"/>
        </w:rPr>
        <w:t>.</w:t>
      </w:r>
    </w:p>
    <w:p w14:paraId="0E40F0BA" w14:textId="393B5E76" w:rsidR="0014586D" w:rsidRDefault="00C36FC0" w:rsidP="00672710">
      <w:pPr>
        <w:spacing w:after="120"/>
        <w:jc w:val="both"/>
        <w:rPr>
          <w:rFonts w:ascii="Arial" w:hAnsi="Arial" w:cs="Arial"/>
          <w:sz w:val="22"/>
          <w:szCs w:val="22"/>
        </w:rPr>
      </w:pPr>
      <w:r>
        <w:rPr>
          <w:rFonts w:ascii="Arial" w:hAnsi="Arial" w:cs="Arial"/>
          <w:sz w:val="22"/>
          <w:szCs w:val="22"/>
        </w:rPr>
        <w:t>Questa è la ragione per cui, r</w:t>
      </w:r>
      <w:r w:rsidR="00B51FED" w:rsidRPr="00FD740B">
        <w:rPr>
          <w:rFonts w:ascii="Arial" w:hAnsi="Arial" w:cs="Arial"/>
          <w:sz w:val="22"/>
          <w:szCs w:val="22"/>
        </w:rPr>
        <w:t>ispetto al 2019</w:t>
      </w:r>
      <w:r>
        <w:rPr>
          <w:rFonts w:ascii="Arial" w:hAnsi="Arial" w:cs="Arial"/>
          <w:sz w:val="22"/>
          <w:szCs w:val="22"/>
        </w:rPr>
        <w:t xml:space="preserve">, in un quadro di </w:t>
      </w:r>
      <w:r w:rsidRPr="00FD740B">
        <w:rPr>
          <w:rFonts w:ascii="Arial" w:hAnsi="Arial" w:cs="Arial"/>
          <w:sz w:val="22"/>
          <w:szCs w:val="22"/>
        </w:rPr>
        <w:t xml:space="preserve">diminuzione significativa della spesa in </w:t>
      </w:r>
      <w:r>
        <w:rPr>
          <w:rFonts w:ascii="Arial" w:hAnsi="Arial" w:cs="Arial"/>
          <w:sz w:val="22"/>
          <w:szCs w:val="22"/>
        </w:rPr>
        <w:t xml:space="preserve">quasi </w:t>
      </w:r>
      <w:r w:rsidRPr="00FD740B">
        <w:rPr>
          <w:rFonts w:ascii="Arial" w:hAnsi="Arial" w:cs="Arial"/>
          <w:sz w:val="22"/>
          <w:szCs w:val="22"/>
        </w:rPr>
        <w:t>tutte le tipologie di famiglie</w:t>
      </w:r>
      <w:r w:rsidR="00C1674B">
        <w:rPr>
          <w:rFonts w:ascii="Arial" w:hAnsi="Arial" w:cs="Arial"/>
          <w:sz w:val="22"/>
          <w:szCs w:val="22"/>
        </w:rPr>
        <w:t>,</w:t>
      </w:r>
      <w:r>
        <w:rPr>
          <w:rFonts w:ascii="Arial" w:hAnsi="Arial" w:cs="Arial"/>
          <w:sz w:val="22"/>
          <w:szCs w:val="22"/>
        </w:rPr>
        <w:t xml:space="preserve"> spicca il calo </w:t>
      </w:r>
      <w:r w:rsidR="0054028D" w:rsidRPr="00FD740B">
        <w:rPr>
          <w:rFonts w:ascii="Arial" w:hAnsi="Arial" w:cs="Arial"/>
          <w:sz w:val="22"/>
          <w:szCs w:val="22"/>
        </w:rPr>
        <w:t>(-11,4%)</w:t>
      </w:r>
      <w:r w:rsidR="0054028D">
        <w:rPr>
          <w:rFonts w:ascii="Arial" w:hAnsi="Arial" w:cs="Arial"/>
          <w:sz w:val="22"/>
          <w:szCs w:val="22"/>
        </w:rPr>
        <w:t xml:space="preserve"> </w:t>
      </w:r>
      <w:r>
        <w:rPr>
          <w:rFonts w:ascii="Arial" w:hAnsi="Arial" w:cs="Arial"/>
          <w:sz w:val="22"/>
          <w:szCs w:val="22"/>
        </w:rPr>
        <w:t>registrato da</w:t>
      </w:r>
      <w:r w:rsidR="00B51FED" w:rsidRPr="00FD740B">
        <w:rPr>
          <w:rFonts w:ascii="Arial" w:hAnsi="Arial" w:cs="Arial"/>
          <w:sz w:val="22"/>
          <w:szCs w:val="22"/>
        </w:rPr>
        <w:t xml:space="preserve"> quelle con persona di riferimento imprenditore o libero professionista</w:t>
      </w:r>
      <w:r w:rsidR="0054028D">
        <w:rPr>
          <w:rFonts w:ascii="Arial" w:hAnsi="Arial" w:cs="Arial"/>
          <w:sz w:val="22"/>
          <w:szCs w:val="22"/>
        </w:rPr>
        <w:t xml:space="preserve"> (si sottolinea che </w:t>
      </w:r>
      <w:r w:rsidR="0054028D" w:rsidRPr="0054028D">
        <w:rPr>
          <w:rFonts w:ascii="Arial" w:hAnsi="Arial" w:cs="Arial"/>
          <w:sz w:val="22"/>
          <w:szCs w:val="22"/>
        </w:rPr>
        <w:t>le spese sostenute per l’attività professionale</w:t>
      </w:r>
      <w:r w:rsidR="0054028D">
        <w:rPr>
          <w:rFonts w:ascii="Arial" w:hAnsi="Arial" w:cs="Arial"/>
          <w:sz w:val="22"/>
          <w:szCs w:val="22"/>
        </w:rPr>
        <w:t xml:space="preserve"> non rientrano n</w:t>
      </w:r>
      <w:r w:rsidR="0054028D" w:rsidRPr="0054028D">
        <w:rPr>
          <w:rFonts w:ascii="Arial" w:hAnsi="Arial" w:cs="Arial"/>
          <w:sz w:val="22"/>
          <w:szCs w:val="22"/>
        </w:rPr>
        <w:t>ella spesa per consumi</w:t>
      </w:r>
      <w:r w:rsidR="0054028D">
        <w:rPr>
          <w:rFonts w:ascii="Arial" w:hAnsi="Arial" w:cs="Arial"/>
          <w:sz w:val="22"/>
          <w:szCs w:val="22"/>
        </w:rPr>
        <w:t>)</w:t>
      </w:r>
      <w:r w:rsidR="00672710">
        <w:rPr>
          <w:rFonts w:ascii="Arial" w:hAnsi="Arial" w:cs="Arial"/>
          <w:sz w:val="22"/>
          <w:szCs w:val="22"/>
        </w:rPr>
        <w:t>. Tali famiglie</w:t>
      </w:r>
      <w:r>
        <w:rPr>
          <w:rFonts w:ascii="Arial" w:hAnsi="Arial" w:cs="Arial"/>
          <w:sz w:val="22"/>
          <w:szCs w:val="22"/>
        </w:rPr>
        <w:t xml:space="preserve"> destinano </w:t>
      </w:r>
      <w:r w:rsidR="00672710">
        <w:rPr>
          <w:rFonts w:ascii="Arial" w:hAnsi="Arial" w:cs="Arial"/>
          <w:sz w:val="22"/>
          <w:szCs w:val="22"/>
        </w:rPr>
        <w:t xml:space="preserve">infatti </w:t>
      </w:r>
      <w:r>
        <w:rPr>
          <w:rFonts w:ascii="Arial" w:hAnsi="Arial" w:cs="Arial"/>
          <w:sz w:val="22"/>
          <w:szCs w:val="22"/>
        </w:rPr>
        <w:t>quote maggiori a</w:t>
      </w:r>
      <w:r w:rsidR="00672710">
        <w:rPr>
          <w:rFonts w:ascii="Arial" w:hAnsi="Arial" w:cs="Arial"/>
          <w:sz w:val="22"/>
          <w:szCs w:val="22"/>
        </w:rPr>
        <w:t>i</w:t>
      </w:r>
      <w:r>
        <w:rPr>
          <w:rFonts w:ascii="Arial" w:hAnsi="Arial" w:cs="Arial"/>
          <w:sz w:val="22"/>
          <w:szCs w:val="22"/>
        </w:rPr>
        <w:t xml:space="preserve"> comparti merceologici </w:t>
      </w:r>
      <w:r w:rsidR="00B25F3D">
        <w:rPr>
          <w:rFonts w:ascii="Arial" w:hAnsi="Arial" w:cs="Arial"/>
          <w:sz w:val="22"/>
          <w:szCs w:val="22"/>
        </w:rPr>
        <w:t xml:space="preserve">più </w:t>
      </w:r>
      <w:r>
        <w:rPr>
          <w:rFonts w:ascii="Arial" w:hAnsi="Arial" w:cs="Arial"/>
          <w:sz w:val="22"/>
          <w:szCs w:val="22"/>
        </w:rPr>
        <w:t>colpiti dalle restrizioni introdotte per contrastare la pandemia</w:t>
      </w:r>
      <w:r w:rsidR="00DD008B">
        <w:rPr>
          <w:rFonts w:ascii="Arial" w:hAnsi="Arial" w:cs="Arial"/>
          <w:sz w:val="22"/>
          <w:szCs w:val="22"/>
        </w:rPr>
        <w:t xml:space="preserve"> </w:t>
      </w:r>
      <w:r w:rsidR="007B5F8C">
        <w:rPr>
          <w:rFonts w:ascii="Arial" w:hAnsi="Arial" w:cs="Arial"/>
          <w:sz w:val="22"/>
          <w:szCs w:val="22"/>
        </w:rPr>
        <w:t>(</w:t>
      </w:r>
      <w:r w:rsidR="00DD008B" w:rsidRPr="003616E2">
        <w:rPr>
          <w:rFonts w:ascii="Arial" w:hAnsi="Arial" w:cs="Arial"/>
          <w:sz w:val="22"/>
        </w:rPr>
        <w:t>Ricreazione, spettacoli e cultura</w:t>
      </w:r>
      <w:r w:rsidR="007B5F8C">
        <w:rPr>
          <w:rFonts w:ascii="Arial" w:hAnsi="Arial" w:cs="Arial"/>
          <w:sz w:val="22"/>
        </w:rPr>
        <w:t>,</w:t>
      </w:r>
      <w:r w:rsidR="00DD008B" w:rsidRPr="003616E2">
        <w:rPr>
          <w:rFonts w:ascii="Arial" w:hAnsi="Arial" w:cs="Arial"/>
          <w:sz w:val="22"/>
        </w:rPr>
        <w:t xml:space="preserve"> 5,4% rispetto al 4,0% della media nazionale)</w:t>
      </w:r>
      <w:r w:rsidR="00B51FED" w:rsidRPr="00FD740B">
        <w:rPr>
          <w:rFonts w:ascii="Arial" w:hAnsi="Arial" w:cs="Arial"/>
          <w:sz w:val="22"/>
          <w:szCs w:val="22"/>
        </w:rPr>
        <w:t>.</w:t>
      </w:r>
      <w:r>
        <w:rPr>
          <w:rFonts w:ascii="Arial" w:hAnsi="Arial" w:cs="Arial"/>
          <w:sz w:val="22"/>
          <w:szCs w:val="22"/>
        </w:rPr>
        <w:t xml:space="preserve"> </w:t>
      </w:r>
    </w:p>
    <w:p w14:paraId="2F35AF8B" w14:textId="6141A0A5" w:rsidR="00745212" w:rsidRDefault="00C36FC0" w:rsidP="00672710">
      <w:pPr>
        <w:pStyle w:val="Default"/>
        <w:spacing w:after="120"/>
        <w:jc w:val="both"/>
        <w:rPr>
          <w:rFonts w:ascii="Arial" w:hAnsi="Arial" w:cs="Arial"/>
          <w:sz w:val="22"/>
          <w:szCs w:val="22"/>
        </w:rPr>
      </w:pPr>
      <w:r>
        <w:rPr>
          <w:rFonts w:ascii="Arial" w:hAnsi="Arial" w:cs="Arial"/>
          <w:color w:val="auto"/>
          <w:sz w:val="22"/>
          <w:szCs w:val="22"/>
        </w:rPr>
        <w:t xml:space="preserve">Ciononostante, </w:t>
      </w:r>
      <w:r w:rsidR="00B51FED">
        <w:rPr>
          <w:rFonts w:ascii="Arial" w:hAnsi="Arial" w:cs="Arial"/>
          <w:color w:val="auto"/>
          <w:sz w:val="22"/>
          <w:szCs w:val="22"/>
        </w:rPr>
        <w:t>sono ancora queste</w:t>
      </w:r>
      <w:r w:rsidR="00B25F3D">
        <w:rPr>
          <w:rFonts w:ascii="Arial" w:hAnsi="Arial" w:cs="Arial"/>
          <w:color w:val="auto"/>
          <w:sz w:val="22"/>
          <w:szCs w:val="22"/>
        </w:rPr>
        <w:t xml:space="preserve"> famiglie</w:t>
      </w:r>
      <w:r w:rsidR="00B51FED">
        <w:rPr>
          <w:rFonts w:ascii="Arial" w:hAnsi="Arial" w:cs="Arial"/>
          <w:color w:val="auto"/>
          <w:sz w:val="22"/>
          <w:szCs w:val="22"/>
        </w:rPr>
        <w:t xml:space="preserve"> a</w:t>
      </w:r>
      <w:r w:rsidR="00B51FED" w:rsidRPr="00774FBC">
        <w:rPr>
          <w:rFonts w:ascii="Arial" w:hAnsi="Arial" w:cs="Arial"/>
          <w:color w:val="auto"/>
          <w:sz w:val="22"/>
          <w:szCs w:val="22"/>
        </w:rPr>
        <w:t xml:space="preserve"> spendere di più (3.471 euro mensili), segu</w:t>
      </w:r>
      <w:r w:rsidR="00B51FED">
        <w:rPr>
          <w:rFonts w:ascii="Arial" w:hAnsi="Arial" w:cs="Arial"/>
          <w:color w:val="auto"/>
          <w:sz w:val="22"/>
          <w:szCs w:val="22"/>
        </w:rPr>
        <w:t>ite da</w:t>
      </w:r>
      <w:r w:rsidR="00B51FED" w:rsidRPr="00774FBC">
        <w:rPr>
          <w:rFonts w:ascii="Arial" w:hAnsi="Arial" w:cs="Arial"/>
          <w:color w:val="auto"/>
          <w:sz w:val="22"/>
          <w:szCs w:val="22"/>
        </w:rPr>
        <w:t xml:space="preserve"> quelle che hanno come persona di riferimento un lavoratore dipendente nella posizione di dirigente, quadro o impiegato </w:t>
      </w:r>
      <w:r w:rsidR="00B51FED" w:rsidRPr="0014586D">
        <w:rPr>
          <w:rFonts w:ascii="Arial" w:hAnsi="Arial" w:cs="Arial"/>
          <w:color w:val="auto"/>
          <w:sz w:val="22"/>
          <w:szCs w:val="22"/>
        </w:rPr>
        <w:t>(2.949 euro).</w:t>
      </w:r>
      <w:r w:rsidR="0014586D" w:rsidRPr="0014586D">
        <w:rPr>
          <w:rFonts w:ascii="Arial" w:hAnsi="Arial" w:cs="Arial"/>
          <w:color w:val="auto"/>
          <w:sz w:val="22"/>
          <w:szCs w:val="22"/>
        </w:rPr>
        <w:t xml:space="preserve"> </w:t>
      </w:r>
      <w:r w:rsidR="00745212" w:rsidRPr="0014586D">
        <w:rPr>
          <w:rFonts w:ascii="Arial" w:hAnsi="Arial" w:cs="Arial"/>
          <w:color w:val="auto"/>
          <w:sz w:val="22"/>
          <w:szCs w:val="22"/>
        </w:rPr>
        <w:t>I livelli di spesa più bassi si osservano nelle famiglie caratterizzate da condizioni</w:t>
      </w:r>
      <w:r w:rsidR="00745212" w:rsidRPr="005C3A67">
        <w:rPr>
          <w:rFonts w:ascii="Arial" w:hAnsi="Arial" w:cs="Arial"/>
          <w:color w:val="auto"/>
          <w:sz w:val="22"/>
          <w:szCs w:val="22"/>
        </w:rPr>
        <w:t xml:space="preserve"> economiche più precarie, vale a dire quelle con persona di riferimento inattiva ma non ritirata dal lavoro (1.677 euro mensili) o con persona di riferimento in cerca di occupazione (1.776 euro). In entrambi i casi, quasi un quinto della spesa è destinato ad acquisti di Alimentari e bevande analcoliche.</w:t>
      </w:r>
    </w:p>
    <w:p w14:paraId="7B3FF988" w14:textId="74C20CC3" w:rsidR="003616E2" w:rsidRPr="001E3F4D" w:rsidRDefault="003616E2" w:rsidP="00672710">
      <w:pPr>
        <w:autoSpaceDE w:val="0"/>
        <w:autoSpaceDN w:val="0"/>
        <w:adjustRightInd w:val="0"/>
        <w:spacing w:after="120"/>
        <w:jc w:val="both"/>
        <w:rPr>
          <w:rFonts w:ascii="Arial" w:hAnsi="Arial" w:cs="Arial"/>
          <w:sz w:val="28"/>
          <w:szCs w:val="22"/>
        </w:rPr>
      </w:pPr>
    </w:p>
    <w:p w14:paraId="537084C8" w14:textId="405BC3AD" w:rsidR="002B4855" w:rsidRPr="008A1BB9" w:rsidRDefault="002B4855" w:rsidP="00B00843">
      <w:pPr>
        <w:autoSpaceDE w:val="0"/>
        <w:autoSpaceDN w:val="0"/>
        <w:adjustRightInd w:val="0"/>
        <w:spacing w:after="120"/>
        <w:jc w:val="both"/>
        <w:rPr>
          <w:rFonts w:ascii="Arial" w:hAnsi="Arial" w:cs="Arial"/>
          <w:sz w:val="40"/>
          <w:szCs w:val="32"/>
        </w:rPr>
      </w:pPr>
    </w:p>
    <w:p w14:paraId="1B6EA4BC" w14:textId="503631D4" w:rsidR="002B4855" w:rsidRPr="008A1BB9" w:rsidRDefault="002B4855" w:rsidP="00B00843">
      <w:pPr>
        <w:autoSpaceDE w:val="0"/>
        <w:autoSpaceDN w:val="0"/>
        <w:adjustRightInd w:val="0"/>
        <w:spacing w:after="120"/>
        <w:jc w:val="both"/>
        <w:rPr>
          <w:rFonts w:ascii="Arial" w:hAnsi="Arial" w:cs="Arial"/>
          <w:sz w:val="44"/>
          <w:szCs w:val="36"/>
        </w:rPr>
      </w:pPr>
    </w:p>
    <w:p w14:paraId="2D0ECC14" w14:textId="30A17155" w:rsidR="005E38F5" w:rsidRDefault="004C365C" w:rsidP="00B00843">
      <w:pPr>
        <w:pStyle w:val="ATitoloTavolaFigura"/>
        <w:keepNext/>
        <w:spacing w:before="0" w:after="0"/>
        <w:ind w:left="0" w:firstLine="0"/>
        <w:rPr>
          <w:rFonts w:ascii="Arial Narrow" w:hAnsi="Arial Narrow"/>
          <w:b w:val="0"/>
          <w:iCs/>
          <w:noProof/>
          <w:color w:val="1F497D" w:themeColor="text2"/>
          <w:sz w:val="22"/>
          <w:szCs w:val="22"/>
        </w:rPr>
      </w:pPr>
      <w:r>
        <w:rPr>
          <w:rFonts w:ascii="Arial Black" w:hAnsi="Arial Black"/>
          <w:iCs/>
          <w:noProof/>
          <w:color w:val="1F497D" w:themeColor="text2"/>
          <w:sz w:val="22"/>
          <w:szCs w:val="22"/>
        </w:rPr>
        <w:t>F</w:t>
      </w:r>
      <w:r w:rsidR="00510790" w:rsidRPr="00AF725F">
        <w:rPr>
          <w:rFonts w:ascii="Arial Black" w:hAnsi="Arial Black"/>
          <w:iCs/>
          <w:noProof/>
          <w:color w:val="1F497D" w:themeColor="text2"/>
          <w:sz w:val="22"/>
          <w:szCs w:val="22"/>
        </w:rPr>
        <w:t xml:space="preserve">IGURA </w:t>
      </w:r>
      <w:r w:rsidR="00510790">
        <w:rPr>
          <w:rFonts w:ascii="Arial Black" w:hAnsi="Arial Black"/>
          <w:iCs/>
          <w:noProof/>
          <w:color w:val="1F497D" w:themeColor="text2"/>
          <w:sz w:val="22"/>
          <w:szCs w:val="22"/>
        </w:rPr>
        <w:t>4</w:t>
      </w:r>
      <w:r w:rsidR="00510790" w:rsidRPr="00AF725F">
        <w:rPr>
          <w:rFonts w:ascii="Arial Black" w:hAnsi="Arial Black"/>
          <w:iCs/>
          <w:noProof/>
          <w:color w:val="1F497D" w:themeColor="text2"/>
          <w:sz w:val="22"/>
          <w:szCs w:val="22"/>
        </w:rPr>
        <w:t>.</w:t>
      </w:r>
      <w:r w:rsidR="00510790">
        <w:rPr>
          <w:rFonts w:ascii="Arial Black" w:hAnsi="Arial Black"/>
          <w:iCs/>
          <w:noProof/>
          <w:color w:val="1F497D" w:themeColor="text2"/>
          <w:sz w:val="22"/>
          <w:szCs w:val="22"/>
        </w:rPr>
        <w:t xml:space="preserve"> </w:t>
      </w:r>
      <w:r w:rsidR="00F05274">
        <w:rPr>
          <w:rFonts w:ascii="Arial Narrow" w:hAnsi="Arial Narrow"/>
          <w:iCs/>
          <w:noProof/>
          <w:color w:val="1F497D" w:themeColor="text2"/>
          <w:sz w:val="22"/>
          <w:szCs w:val="22"/>
        </w:rPr>
        <w:t>SPESA MEDIA MENSILE</w:t>
      </w:r>
      <w:r w:rsidR="00403B64">
        <w:rPr>
          <w:rFonts w:ascii="Arial Narrow" w:hAnsi="Arial Narrow"/>
          <w:iCs/>
          <w:noProof/>
          <w:color w:val="1F497D" w:themeColor="text2"/>
          <w:sz w:val="22"/>
          <w:szCs w:val="22"/>
        </w:rPr>
        <w:t xml:space="preserve"> TOTALE</w:t>
      </w:r>
      <w:r w:rsidR="00F05274">
        <w:rPr>
          <w:rFonts w:ascii="Arial Narrow" w:hAnsi="Arial Narrow"/>
          <w:iCs/>
          <w:noProof/>
          <w:color w:val="1F497D" w:themeColor="text2"/>
          <w:sz w:val="22"/>
          <w:szCs w:val="22"/>
        </w:rPr>
        <w:t>,</w:t>
      </w:r>
      <w:r w:rsidR="00F05274" w:rsidRPr="00F05274">
        <w:rPr>
          <w:rFonts w:ascii="Arial Narrow" w:hAnsi="Arial Narrow"/>
          <w:iCs/>
          <w:noProof/>
          <w:color w:val="1F497D" w:themeColor="text2"/>
          <w:sz w:val="22"/>
          <w:szCs w:val="22"/>
        </w:rPr>
        <w:t xml:space="preserve"> ALIMENTARI E BEVANDE ANALCOLICHE</w:t>
      </w:r>
      <w:r w:rsidR="00F05274">
        <w:rPr>
          <w:rFonts w:ascii="Arial Narrow" w:hAnsi="Arial Narrow"/>
          <w:iCs/>
          <w:noProof/>
          <w:color w:val="1F497D" w:themeColor="text2"/>
          <w:sz w:val="22"/>
          <w:szCs w:val="22"/>
        </w:rPr>
        <w:t xml:space="preserve"> E </w:t>
      </w:r>
      <w:r w:rsidR="00F05274" w:rsidRPr="00F05274">
        <w:rPr>
          <w:rFonts w:ascii="Arial Narrow" w:hAnsi="Arial Narrow"/>
          <w:iCs/>
          <w:noProof/>
          <w:color w:val="1F497D" w:themeColor="text2"/>
          <w:sz w:val="22"/>
          <w:szCs w:val="22"/>
        </w:rPr>
        <w:t>BENI E SERVIZI NON ALIMENTARI</w:t>
      </w:r>
      <w:r w:rsidR="00F05274">
        <w:rPr>
          <w:rFonts w:ascii="Arial Narrow" w:hAnsi="Arial Narrow"/>
          <w:iCs/>
          <w:noProof/>
          <w:color w:val="1F497D" w:themeColor="text2"/>
          <w:sz w:val="22"/>
          <w:szCs w:val="22"/>
        </w:rPr>
        <w:t xml:space="preserve"> </w:t>
      </w:r>
      <w:r w:rsidR="00922AF5">
        <w:rPr>
          <w:rFonts w:ascii="Arial Narrow" w:hAnsi="Arial Narrow"/>
          <w:iCs/>
          <w:noProof/>
          <w:color w:val="1F497D" w:themeColor="text2"/>
          <w:sz w:val="22"/>
          <w:szCs w:val="22"/>
        </w:rPr>
        <w:t xml:space="preserve">PER </w:t>
      </w:r>
      <w:r w:rsidR="00F05274">
        <w:rPr>
          <w:rFonts w:ascii="Arial Narrow" w:hAnsi="Arial Narrow"/>
          <w:iCs/>
          <w:noProof/>
          <w:color w:val="1F497D" w:themeColor="text2"/>
          <w:sz w:val="22"/>
          <w:szCs w:val="22"/>
        </w:rPr>
        <w:t>CONDIZIONE PROFESSIONALE DELLA PERSONA DI RIFERIMENTO</w:t>
      </w:r>
      <w:r w:rsidR="00454FF1">
        <w:rPr>
          <w:rFonts w:ascii="Arial Narrow" w:hAnsi="Arial Narrow"/>
          <w:iCs/>
          <w:noProof/>
          <w:color w:val="1F497D" w:themeColor="text2"/>
          <w:sz w:val="22"/>
          <w:szCs w:val="22"/>
        </w:rPr>
        <w:t xml:space="preserve">. </w:t>
      </w:r>
      <w:r w:rsidR="00510790" w:rsidRPr="00DF042B">
        <w:rPr>
          <w:rFonts w:ascii="Arial Narrow" w:hAnsi="Arial Narrow"/>
          <w:b w:val="0"/>
          <w:iCs/>
          <w:noProof/>
          <w:color w:val="1F497D" w:themeColor="text2"/>
          <w:sz w:val="22"/>
          <w:szCs w:val="22"/>
        </w:rPr>
        <w:t xml:space="preserve">Anno </w:t>
      </w:r>
      <w:r w:rsidR="00C70D65">
        <w:rPr>
          <w:rFonts w:ascii="Arial Narrow" w:hAnsi="Arial Narrow"/>
          <w:b w:val="0"/>
          <w:iCs/>
          <w:noProof/>
          <w:color w:val="1F497D" w:themeColor="text2"/>
          <w:sz w:val="22"/>
          <w:szCs w:val="22"/>
        </w:rPr>
        <w:t>2020</w:t>
      </w:r>
      <w:r w:rsidR="00F05274" w:rsidRPr="00DF042B">
        <w:rPr>
          <w:rFonts w:ascii="Arial Narrow" w:hAnsi="Arial Narrow"/>
          <w:b w:val="0"/>
          <w:iCs/>
          <w:noProof/>
          <w:color w:val="1F497D" w:themeColor="text2"/>
          <w:sz w:val="22"/>
          <w:szCs w:val="22"/>
        </w:rPr>
        <w:t>,</w:t>
      </w:r>
      <w:r w:rsidR="00F05274">
        <w:rPr>
          <w:rFonts w:ascii="Arial Narrow" w:hAnsi="Arial Narrow"/>
          <w:b w:val="0"/>
          <w:iCs/>
          <w:noProof/>
          <w:color w:val="1F497D" w:themeColor="text2"/>
          <w:sz w:val="22"/>
          <w:szCs w:val="22"/>
        </w:rPr>
        <w:t xml:space="preserve"> valori in euro</w:t>
      </w:r>
    </w:p>
    <w:p w14:paraId="5BB97349" w14:textId="19EDE6BD" w:rsidR="00435C1B" w:rsidRPr="001E3F4D" w:rsidRDefault="00435C1B" w:rsidP="00B00843">
      <w:pPr>
        <w:pStyle w:val="ATitoloTavolaFigura"/>
        <w:keepNext/>
        <w:spacing w:before="0" w:after="0"/>
        <w:ind w:left="0" w:firstLine="0"/>
        <w:rPr>
          <w:rFonts w:ascii="Arial Narrow" w:hAnsi="Arial Narrow"/>
          <w:b w:val="0"/>
          <w:iCs/>
          <w:noProof/>
          <w:color w:val="1F497D" w:themeColor="text2"/>
          <w:sz w:val="16"/>
          <w:szCs w:val="22"/>
        </w:rPr>
      </w:pPr>
    </w:p>
    <w:p w14:paraId="56B99A0E" w14:textId="5F82CF4C" w:rsidR="00435C1B" w:rsidRDefault="00435C1B" w:rsidP="00734A2B">
      <w:pPr>
        <w:pStyle w:val="ATitoloTavolaFigura"/>
        <w:keepNext/>
        <w:spacing w:before="0" w:after="0"/>
        <w:ind w:left="0" w:firstLine="0"/>
        <w:jc w:val="left"/>
        <w:rPr>
          <w:rFonts w:ascii="Arial Narrow" w:hAnsi="Arial Narrow"/>
          <w:b w:val="0"/>
          <w:iCs/>
          <w:noProof/>
          <w:color w:val="1F497D" w:themeColor="text2"/>
          <w:sz w:val="22"/>
          <w:szCs w:val="22"/>
        </w:rPr>
      </w:pPr>
      <w:r>
        <w:rPr>
          <w:noProof/>
        </w:rPr>
        <w:drawing>
          <wp:inline distT="0" distB="0" distL="0" distR="0" wp14:anchorId="385789B3" wp14:editId="4D5B636E">
            <wp:extent cx="6300000" cy="2160000"/>
            <wp:effectExtent l="0" t="0" r="5715" b="0"/>
            <wp:docPr id="26" name="Grafico 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DE3010" w14:textId="02261533" w:rsidR="00B51FED" w:rsidRDefault="00E83D14" w:rsidP="00B00843">
      <w:pPr>
        <w:pStyle w:val="ATitoloTavolaFigura"/>
        <w:keepNext/>
        <w:spacing w:before="0" w:after="0"/>
        <w:ind w:left="0" w:firstLine="0"/>
        <w:rPr>
          <w:rFonts w:ascii="Arial" w:hAnsi="Arial"/>
          <w:sz w:val="22"/>
          <w:szCs w:val="22"/>
          <w:highlight w:val="yellow"/>
        </w:rPr>
      </w:pPr>
      <w:r w:rsidRPr="00E83D14">
        <w:rPr>
          <w:rFonts w:ascii="Arial Narrow" w:hAnsi="Arial Narrow"/>
          <w:b w:val="0"/>
          <w:noProof/>
          <w:sz w:val="15"/>
          <w:szCs w:val="15"/>
        </w:rPr>
        <mc:AlternateContent>
          <mc:Choice Requires="wps">
            <w:drawing>
              <wp:anchor distT="0" distB="0" distL="114300" distR="114300" simplePos="0" relativeHeight="251713536" behindDoc="0" locked="0" layoutInCell="1" allowOverlap="1" wp14:anchorId="77CF6D26" wp14:editId="0B6C77F5">
                <wp:simplePos x="0" y="0"/>
                <wp:positionH relativeFrom="column">
                  <wp:posOffset>1757983</wp:posOffset>
                </wp:positionH>
                <wp:positionV relativeFrom="paragraph">
                  <wp:posOffset>1939290</wp:posOffset>
                </wp:positionV>
                <wp:extent cx="219075" cy="236145"/>
                <wp:effectExtent l="0" t="0" r="0" b="0"/>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6145"/>
                        </a:xfrm>
                        <a:prstGeom prst="rect">
                          <a:avLst/>
                        </a:prstGeom>
                        <a:solidFill>
                          <a:srgbClr val="FFFFFF">
                            <a:alpha val="0"/>
                          </a:srgbClr>
                        </a:solidFill>
                        <a:ln w="9525">
                          <a:noFill/>
                          <a:miter lim="800000"/>
                          <a:headEnd/>
                          <a:tailEnd/>
                        </a:ln>
                      </wps:spPr>
                      <wps:txbx>
                        <w:txbxContent>
                          <w:p w14:paraId="34FAEE0A" w14:textId="77777777" w:rsidR="00E54B3D" w:rsidRPr="00E83D14" w:rsidRDefault="00E54B3D" w:rsidP="00E83D14">
                            <w:pPr>
                              <w:rPr>
                                <w:rFonts w:ascii="Arial Narrow" w:hAnsi="Arial Narrow"/>
                                <w:sz w:val="16"/>
                                <w:szCs w:val="16"/>
                              </w:rPr>
                            </w:pPr>
                            <w:r w:rsidRPr="00E83D14">
                              <w:rPr>
                                <w:rFonts w:ascii="Arial Narrow" w:hAnsi="Arial Narrow"/>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F6D26" id="_x0000_t202" coordsize="21600,21600" o:spt="202" path="m,l,21600r21600,l21600,xe">
                <v:stroke joinstyle="miter"/>
                <v:path gradientshapeok="t" o:connecttype="rect"/>
              </v:shapetype>
              <v:shape id="Casella di testo 2" o:spid="_x0000_s1026" type="#_x0000_t202" style="position:absolute;left:0;text-align:left;margin-left:138.4pt;margin-top:152.7pt;width:17.25pt;height:1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" stroked="f">
                <v:fill opacity="0"/>
                <v:textbox>
                  <w:txbxContent>
                    <w:p w14:paraId="34FAEE0A" w14:textId="77777777" w:rsidR="00E54B3D" w:rsidRPr="00E83D14" w:rsidRDefault="00E54B3D" w:rsidP="00E83D14">
                      <w:pPr>
                        <w:rPr>
                          <w:rFonts w:ascii="Arial Narrow" w:hAnsi="Arial Narrow"/>
                          <w:sz w:val="16"/>
                          <w:szCs w:val="16"/>
                        </w:rPr>
                      </w:pPr>
                      <w:r w:rsidRPr="00E83D14">
                        <w:rPr>
                          <w:rFonts w:ascii="Arial Narrow" w:hAnsi="Arial Narrow"/>
                          <w:sz w:val="16"/>
                          <w:szCs w:val="16"/>
                        </w:rPr>
                        <w:t>€</w:t>
                      </w:r>
                    </w:p>
                  </w:txbxContent>
                </v:textbox>
              </v:shape>
            </w:pict>
          </mc:Fallback>
        </mc:AlternateContent>
      </w:r>
      <w:r w:rsidR="00AD469F" w:rsidRPr="00132A04">
        <w:rPr>
          <w:rFonts w:ascii="Arial Narrow" w:hAnsi="Arial Narrow"/>
          <w:sz w:val="14"/>
          <w:szCs w:val="14"/>
        </w:rPr>
        <w:br w:type="page"/>
      </w:r>
    </w:p>
    <w:p w14:paraId="3E0BE22D" w14:textId="77777777" w:rsidR="00DD008B" w:rsidRPr="00454FF1" w:rsidRDefault="00DD008B" w:rsidP="00454FF1">
      <w:pPr>
        <w:spacing w:after="120"/>
        <w:jc w:val="both"/>
        <w:rPr>
          <w:rFonts w:ascii="Arial" w:hAnsi="Arial" w:cs="Arial"/>
        </w:rPr>
      </w:pPr>
    </w:p>
    <w:p w14:paraId="502AB5C3" w14:textId="65F48E12" w:rsidR="004C365C" w:rsidRPr="00DF6413" w:rsidRDefault="00B25F3D" w:rsidP="004C365C">
      <w:pPr>
        <w:pStyle w:val="Default"/>
        <w:spacing w:after="120"/>
        <w:jc w:val="both"/>
        <w:rPr>
          <w:rFonts w:ascii="Arial" w:hAnsi="Arial" w:cs="Arial"/>
          <w:b/>
          <w:color w:val="1F497D"/>
          <w:sz w:val="26"/>
          <w:szCs w:val="26"/>
        </w:rPr>
      </w:pPr>
      <w:r>
        <w:rPr>
          <w:rFonts w:ascii="Arial" w:hAnsi="Arial" w:cs="Arial"/>
          <w:b/>
          <w:color w:val="1F497D"/>
          <w:sz w:val="26"/>
          <w:szCs w:val="26"/>
        </w:rPr>
        <w:t>Si attenua il</w:t>
      </w:r>
      <w:r w:rsidR="004C365C">
        <w:rPr>
          <w:rFonts w:ascii="Arial" w:hAnsi="Arial" w:cs="Arial"/>
          <w:b/>
          <w:color w:val="1F497D"/>
          <w:sz w:val="26"/>
          <w:szCs w:val="26"/>
        </w:rPr>
        <w:t xml:space="preserve"> divario nel</w:t>
      </w:r>
      <w:r w:rsidR="004C365C" w:rsidRPr="00DF6413">
        <w:rPr>
          <w:rFonts w:ascii="Arial" w:hAnsi="Arial" w:cs="Arial"/>
          <w:b/>
          <w:color w:val="1F497D"/>
          <w:sz w:val="26"/>
          <w:szCs w:val="26"/>
        </w:rPr>
        <w:t xml:space="preserve">la spesa </w:t>
      </w:r>
      <w:r w:rsidR="004C365C">
        <w:rPr>
          <w:rFonts w:ascii="Arial" w:hAnsi="Arial" w:cs="Arial"/>
          <w:b/>
          <w:color w:val="1F497D"/>
          <w:sz w:val="26"/>
          <w:szCs w:val="26"/>
        </w:rPr>
        <w:t xml:space="preserve">tra </w:t>
      </w:r>
      <w:r w:rsidR="00782F73">
        <w:rPr>
          <w:rFonts w:ascii="Arial" w:hAnsi="Arial" w:cs="Arial"/>
          <w:b/>
          <w:color w:val="1F497D"/>
          <w:sz w:val="26"/>
          <w:szCs w:val="26"/>
        </w:rPr>
        <w:t xml:space="preserve">le </w:t>
      </w:r>
      <w:r w:rsidR="004C365C" w:rsidRPr="00DF6413">
        <w:rPr>
          <w:rFonts w:ascii="Arial" w:hAnsi="Arial" w:cs="Arial"/>
          <w:b/>
          <w:color w:val="1F497D"/>
          <w:sz w:val="26"/>
          <w:szCs w:val="26"/>
        </w:rPr>
        <w:t xml:space="preserve">famiglie di </w:t>
      </w:r>
      <w:r w:rsidR="004C365C">
        <w:rPr>
          <w:rFonts w:ascii="Arial" w:hAnsi="Arial" w:cs="Arial"/>
          <w:b/>
          <w:color w:val="1F497D"/>
          <w:sz w:val="26"/>
          <w:szCs w:val="26"/>
        </w:rPr>
        <w:t xml:space="preserve">italiani e quelle con </w:t>
      </w:r>
      <w:r w:rsidR="004C365C" w:rsidRPr="00DF6413">
        <w:rPr>
          <w:rFonts w:ascii="Arial" w:hAnsi="Arial" w:cs="Arial"/>
          <w:b/>
          <w:color w:val="1F497D"/>
          <w:sz w:val="26"/>
          <w:szCs w:val="26"/>
        </w:rPr>
        <w:t>stranieri</w:t>
      </w:r>
    </w:p>
    <w:p w14:paraId="7F82EDD8" w14:textId="6FEA6694" w:rsidR="00784781" w:rsidRDefault="004C365C" w:rsidP="004C365C">
      <w:pPr>
        <w:pStyle w:val="Default"/>
        <w:spacing w:after="120"/>
        <w:jc w:val="both"/>
        <w:rPr>
          <w:rFonts w:ascii="Arial" w:hAnsi="Arial" w:cs="Arial"/>
          <w:sz w:val="22"/>
          <w:szCs w:val="22"/>
        </w:rPr>
      </w:pPr>
      <w:r w:rsidRPr="00DF6413">
        <w:rPr>
          <w:rFonts w:ascii="Arial" w:hAnsi="Arial" w:cs="Arial"/>
          <w:sz w:val="22"/>
          <w:szCs w:val="22"/>
        </w:rPr>
        <w:t xml:space="preserve">Nel 2020, il divario tra la spesa delle famiglie composte solamente da italiani (2.369 euro) e quella delle famiglie con almeno uno straniero (1.892 euro) è di 477 euro (20,1% in </w:t>
      </w:r>
      <w:r w:rsidRPr="00B51FED">
        <w:rPr>
          <w:rFonts w:ascii="Arial" w:hAnsi="Arial" w:cs="Arial"/>
          <w:sz w:val="22"/>
          <w:szCs w:val="22"/>
        </w:rPr>
        <w:t>meno</w:t>
      </w:r>
      <w:r w:rsidR="00616A40">
        <w:rPr>
          <w:rFonts w:ascii="Arial" w:hAnsi="Arial" w:cs="Arial"/>
          <w:sz w:val="22"/>
          <w:szCs w:val="22"/>
        </w:rPr>
        <w:t>,</w:t>
      </w:r>
      <w:r w:rsidR="00B25F3D">
        <w:rPr>
          <w:rFonts w:ascii="Arial" w:hAnsi="Arial" w:cs="Arial"/>
          <w:sz w:val="22"/>
          <w:szCs w:val="22"/>
        </w:rPr>
        <w:t xml:space="preserve"> da</w:t>
      </w:r>
      <w:r w:rsidR="00616A40">
        <w:rPr>
          <w:rFonts w:ascii="Arial" w:hAnsi="Arial" w:cs="Arial"/>
          <w:sz w:val="22"/>
          <w:szCs w:val="22"/>
        </w:rPr>
        <w:t>l</w:t>
      </w:r>
      <w:r w:rsidRPr="00B51FED">
        <w:rPr>
          <w:rFonts w:ascii="Arial" w:hAnsi="Arial" w:cs="Arial"/>
          <w:sz w:val="22"/>
          <w:szCs w:val="22"/>
        </w:rPr>
        <w:t xml:space="preserve"> 23,7% in meno nel 2019)</w:t>
      </w:r>
      <w:r w:rsidR="00B25F3D">
        <w:rPr>
          <w:rFonts w:ascii="Arial" w:hAnsi="Arial" w:cs="Arial"/>
          <w:sz w:val="22"/>
          <w:szCs w:val="22"/>
        </w:rPr>
        <w:t xml:space="preserve">; considerando invece </w:t>
      </w:r>
      <w:r w:rsidR="00B25F3D" w:rsidRPr="00DF6413">
        <w:rPr>
          <w:rFonts w:ascii="Arial" w:hAnsi="Arial" w:cs="Arial"/>
          <w:sz w:val="22"/>
          <w:szCs w:val="22"/>
        </w:rPr>
        <w:t>le famiglie composte solamente da stranieri</w:t>
      </w:r>
      <w:r w:rsidR="00616A40">
        <w:rPr>
          <w:rFonts w:ascii="Arial" w:hAnsi="Arial" w:cs="Arial"/>
          <w:sz w:val="22"/>
          <w:szCs w:val="22"/>
        </w:rPr>
        <w:t>,</w:t>
      </w:r>
      <w:r w:rsidR="00B25F3D">
        <w:rPr>
          <w:rFonts w:ascii="Arial" w:hAnsi="Arial" w:cs="Arial"/>
          <w:sz w:val="22"/>
          <w:szCs w:val="22"/>
        </w:rPr>
        <w:t xml:space="preserve"> il</w:t>
      </w:r>
      <w:r w:rsidRPr="00B51FED">
        <w:rPr>
          <w:rFonts w:ascii="Arial" w:hAnsi="Arial" w:cs="Arial"/>
          <w:sz w:val="22"/>
          <w:szCs w:val="22"/>
        </w:rPr>
        <w:t xml:space="preserve"> divario sale a 672 euro</w:t>
      </w:r>
      <w:r w:rsidR="00B25F3D">
        <w:rPr>
          <w:rFonts w:ascii="Arial" w:hAnsi="Arial" w:cs="Arial"/>
          <w:sz w:val="22"/>
          <w:szCs w:val="22"/>
        </w:rPr>
        <w:t xml:space="preserve"> </w:t>
      </w:r>
      <w:r w:rsidRPr="00B51FED">
        <w:rPr>
          <w:rFonts w:ascii="Arial" w:hAnsi="Arial" w:cs="Arial"/>
          <w:sz w:val="22"/>
          <w:szCs w:val="22"/>
        </w:rPr>
        <w:t>(28,4%</w:t>
      </w:r>
      <w:r w:rsidR="00B25F3D">
        <w:rPr>
          <w:rFonts w:ascii="Arial" w:hAnsi="Arial" w:cs="Arial"/>
          <w:sz w:val="22"/>
          <w:szCs w:val="22"/>
        </w:rPr>
        <w:t xml:space="preserve"> in meno</w:t>
      </w:r>
      <w:r w:rsidR="00616A40">
        <w:rPr>
          <w:rFonts w:ascii="Arial" w:hAnsi="Arial" w:cs="Arial"/>
          <w:sz w:val="22"/>
          <w:szCs w:val="22"/>
        </w:rPr>
        <w:t>,</w:t>
      </w:r>
      <w:r w:rsidR="00B25F3D">
        <w:rPr>
          <w:rFonts w:ascii="Arial" w:hAnsi="Arial" w:cs="Arial"/>
          <w:sz w:val="22"/>
          <w:szCs w:val="22"/>
        </w:rPr>
        <w:t xml:space="preserve"> da</w:t>
      </w:r>
      <w:r w:rsidR="00616A40">
        <w:rPr>
          <w:rFonts w:ascii="Arial" w:hAnsi="Arial" w:cs="Arial"/>
          <w:sz w:val="22"/>
          <w:szCs w:val="22"/>
        </w:rPr>
        <w:t>l</w:t>
      </w:r>
      <w:r>
        <w:rPr>
          <w:rFonts w:ascii="Arial" w:hAnsi="Arial" w:cs="Arial"/>
          <w:sz w:val="22"/>
          <w:szCs w:val="22"/>
        </w:rPr>
        <w:t xml:space="preserve"> </w:t>
      </w:r>
      <w:r w:rsidRPr="00B51FED">
        <w:rPr>
          <w:rFonts w:ascii="Arial" w:hAnsi="Arial" w:cs="Arial"/>
          <w:sz w:val="22"/>
          <w:szCs w:val="22"/>
        </w:rPr>
        <w:t>36,4%</w:t>
      </w:r>
      <w:r>
        <w:rPr>
          <w:rFonts w:ascii="Arial" w:hAnsi="Arial" w:cs="Arial"/>
          <w:sz w:val="22"/>
          <w:szCs w:val="22"/>
        </w:rPr>
        <w:t xml:space="preserve"> in meno</w:t>
      </w:r>
      <w:r w:rsidR="00B25F3D">
        <w:rPr>
          <w:rFonts w:ascii="Arial" w:hAnsi="Arial" w:cs="Arial"/>
          <w:sz w:val="22"/>
          <w:szCs w:val="22"/>
        </w:rPr>
        <w:t xml:space="preserve"> del 2019</w:t>
      </w:r>
      <w:r w:rsidRPr="00B51FED">
        <w:rPr>
          <w:rFonts w:ascii="Arial" w:hAnsi="Arial" w:cs="Arial"/>
          <w:sz w:val="22"/>
          <w:szCs w:val="22"/>
        </w:rPr>
        <w:t>)</w:t>
      </w:r>
      <w:r w:rsidRPr="00DF6413">
        <w:rPr>
          <w:rFonts w:ascii="Arial" w:hAnsi="Arial" w:cs="Arial"/>
          <w:sz w:val="22"/>
          <w:szCs w:val="22"/>
        </w:rPr>
        <w:t>.</w:t>
      </w:r>
    </w:p>
    <w:p w14:paraId="41F96E55" w14:textId="057CE038" w:rsidR="00784781" w:rsidRDefault="00B25F3D">
      <w:pPr>
        <w:pStyle w:val="Default"/>
        <w:spacing w:after="120"/>
        <w:jc w:val="both"/>
        <w:rPr>
          <w:rFonts w:ascii="Arial" w:hAnsi="Arial" w:cs="Arial"/>
          <w:sz w:val="22"/>
          <w:szCs w:val="22"/>
        </w:rPr>
      </w:pPr>
      <w:r>
        <w:rPr>
          <w:rFonts w:ascii="Arial" w:hAnsi="Arial" w:cs="Arial"/>
          <w:sz w:val="22"/>
          <w:szCs w:val="22"/>
        </w:rPr>
        <w:t>S</w:t>
      </w:r>
      <w:r w:rsidR="004C365C">
        <w:rPr>
          <w:rFonts w:ascii="Arial" w:hAnsi="Arial" w:cs="Arial"/>
          <w:sz w:val="22"/>
          <w:szCs w:val="22"/>
        </w:rPr>
        <w:t xml:space="preserve">i </w:t>
      </w:r>
      <w:r>
        <w:rPr>
          <w:rFonts w:ascii="Arial" w:hAnsi="Arial" w:cs="Arial"/>
          <w:sz w:val="22"/>
          <w:szCs w:val="22"/>
        </w:rPr>
        <w:t>attenua dunque</w:t>
      </w:r>
      <w:r w:rsidRPr="00B51FED">
        <w:rPr>
          <w:rFonts w:ascii="Arial" w:hAnsi="Arial" w:cs="Arial"/>
          <w:sz w:val="22"/>
          <w:szCs w:val="22"/>
        </w:rPr>
        <w:t xml:space="preserve"> </w:t>
      </w:r>
      <w:r w:rsidR="004C365C" w:rsidRPr="00B51FED">
        <w:rPr>
          <w:rFonts w:ascii="Arial" w:hAnsi="Arial" w:cs="Arial"/>
          <w:sz w:val="22"/>
          <w:szCs w:val="22"/>
        </w:rPr>
        <w:t xml:space="preserve">il divario nella spesa tra le famiglie di soli italiani e </w:t>
      </w:r>
      <w:r w:rsidR="004C365C">
        <w:rPr>
          <w:rFonts w:ascii="Arial" w:hAnsi="Arial" w:cs="Arial"/>
          <w:sz w:val="22"/>
          <w:szCs w:val="22"/>
        </w:rPr>
        <w:t xml:space="preserve">quelle con almeno uno straniero e </w:t>
      </w:r>
      <w:r w:rsidR="004C365C" w:rsidRPr="00B51FED">
        <w:rPr>
          <w:rFonts w:ascii="Arial" w:hAnsi="Arial" w:cs="Arial"/>
          <w:sz w:val="22"/>
          <w:szCs w:val="22"/>
        </w:rPr>
        <w:t>di soli stranieri</w:t>
      </w:r>
      <w:r w:rsidR="000F5558">
        <w:rPr>
          <w:rFonts w:ascii="Arial" w:hAnsi="Arial" w:cs="Arial"/>
          <w:sz w:val="22"/>
          <w:szCs w:val="22"/>
        </w:rPr>
        <w:t>, avendo</w:t>
      </w:r>
      <w:r w:rsidR="000F5558">
        <w:rPr>
          <w:rFonts w:ascii="Arial" w:hAnsi="Arial" w:cs="Arial"/>
          <w:color w:val="auto"/>
          <w:sz w:val="22"/>
          <w:szCs w:val="22"/>
        </w:rPr>
        <w:t xml:space="preserve"> </w:t>
      </w:r>
      <w:r w:rsidR="00B51FED">
        <w:rPr>
          <w:rFonts w:ascii="Arial" w:hAnsi="Arial" w:cs="Arial"/>
          <w:color w:val="auto"/>
          <w:sz w:val="22"/>
          <w:szCs w:val="22"/>
        </w:rPr>
        <w:t xml:space="preserve">le famiglie di soli italiani </w:t>
      </w:r>
      <w:r w:rsidR="00C06BAE">
        <w:rPr>
          <w:rFonts w:ascii="Arial" w:hAnsi="Arial" w:cs="Arial"/>
          <w:color w:val="auto"/>
          <w:sz w:val="22"/>
          <w:szCs w:val="22"/>
        </w:rPr>
        <w:t>contra</w:t>
      </w:r>
      <w:r w:rsidR="000F5558">
        <w:rPr>
          <w:rFonts w:ascii="Arial" w:hAnsi="Arial" w:cs="Arial"/>
          <w:color w:val="auto"/>
          <w:sz w:val="22"/>
          <w:szCs w:val="22"/>
        </w:rPr>
        <w:t>tto</w:t>
      </w:r>
      <w:r>
        <w:rPr>
          <w:rFonts w:ascii="Arial" w:hAnsi="Arial" w:cs="Arial"/>
          <w:color w:val="auto"/>
          <w:sz w:val="22"/>
          <w:szCs w:val="22"/>
        </w:rPr>
        <w:t xml:space="preserve"> di più</w:t>
      </w:r>
      <w:r w:rsidR="00C06BAE">
        <w:rPr>
          <w:rFonts w:ascii="Arial" w:hAnsi="Arial" w:cs="Arial"/>
          <w:color w:val="auto"/>
          <w:sz w:val="22"/>
          <w:szCs w:val="22"/>
        </w:rPr>
        <w:t xml:space="preserve"> la loro spesa </w:t>
      </w:r>
      <w:r w:rsidR="00787ED0">
        <w:rPr>
          <w:rFonts w:ascii="Arial" w:hAnsi="Arial" w:cs="Arial"/>
          <w:color w:val="auto"/>
          <w:sz w:val="22"/>
          <w:szCs w:val="22"/>
        </w:rPr>
        <w:t xml:space="preserve">(-9,4%) </w:t>
      </w:r>
      <w:r>
        <w:rPr>
          <w:rFonts w:ascii="Arial" w:hAnsi="Arial" w:cs="Arial"/>
          <w:color w:val="auto"/>
          <w:sz w:val="22"/>
          <w:szCs w:val="22"/>
        </w:rPr>
        <w:t xml:space="preserve">rispetto a </w:t>
      </w:r>
      <w:r w:rsidR="00B51FED">
        <w:rPr>
          <w:rFonts w:ascii="Arial" w:hAnsi="Arial" w:cs="Arial"/>
          <w:color w:val="auto"/>
          <w:sz w:val="22"/>
          <w:szCs w:val="22"/>
        </w:rPr>
        <w:t xml:space="preserve">quelle con almeno uno straniero </w:t>
      </w:r>
      <w:r w:rsidR="002D360C">
        <w:rPr>
          <w:rFonts w:ascii="Arial" w:hAnsi="Arial" w:cs="Arial"/>
          <w:color w:val="auto"/>
          <w:sz w:val="22"/>
          <w:szCs w:val="22"/>
        </w:rPr>
        <w:t>(-5</w:t>
      </w:r>
      <w:r w:rsidR="00B51FED">
        <w:rPr>
          <w:rFonts w:ascii="Arial" w:hAnsi="Arial" w:cs="Arial"/>
          <w:color w:val="auto"/>
          <w:sz w:val="22"/>
          <w:szCs w:val="22"/>
        </w:rPr>
        <w:t>,1%</w:t>
      </w:r>
      <w:r w:rsidR="002D360C">
        <w:rPr>
          <w:rFonts w:ascii="Arial" w:hAnsi="Arial" w:cs="Arial"/>
          <w:color w:val="auto"/>
          <w:sz w:val="22"/>
          <w:szCs w:val="22"/>
        </w:rPr>
        <w:t>)</w:t>
      </w:r>
      <w:r w:rsidR="00B51FED">
        <w:rPr>
          <w:rFonts w:ascii="Arial" w:hAnsi="Arial" w:cs="Arial"/>
          <w:color w:val="auto"/>
          <w:sz w:val="22"/>
          <w:szCs w:val="22"/>
        </w:rPr>
        <w:t>.</w:t>
      </w:r>
      <w:r w:rsidR="00F41A70">
        <w:rPr>
          <w:rFonts w:ascii="Arial" w:hAnsi="Arial" w:cs="Arial"/>
          <w:color w:val="auto"/>
          <w:sz w:val="22"/>
          <w:szCs w:val="22"/>
        </w:rPr>
        <w:t xml:space="preserve"> </w:t>
      </w:r>
      <w:r w:rsidR="00784781">
        <w:rPr>
          <w:rFonts w:ascii="Arial" w:hAnsi="Arial" w:cs="Arial"/>
          <w:color w:val="auto"/>
          <w:sz w:val="22"/>
          <w:szCs w:val="22"/>
        </w:rPr>
        <w:t>Le ragioni di questa diversa dinamica sono</w:t>
      </w:r>
      <w:r w:rsidR="00784781">
        <w:rPr>
          <w:rFonts w:ascii="Arial" w:hAnsi="Arial" w:cs="Arial"/>
          <w:sz w:val="22"/>
          <w:szCs w:val="22"/>
        </w:rPr>
        <w:t xml:space="preserve"> in larga parte </w:t>
      </w:r>
      <w:r w:rsidR="00100E88">
        <w:rPr>
          <w:rFonts w:ascii="Arial" w:hAnsi="Arial" w:cs="Arial"/>
          <w:sz w:val="22"/>
          <w:szCs w:val="22"/>
        </w:rPr>
        <w:t xml:space="preserve">ascrivibili </w:t>
      </w:r>
      <w:r w:rsidR="00784781">
        <w:rPr>
          <w:rFonts w:ascii="Arial" w:hAnsi="Arial" w:cs="Arial"/>
          <w:sz w:val="22"/>
          <w:szCs w:val="22"/>
        </w:rPr>
        <w:t>agli effetti della pandemia sui consumi</w:t>
      </w:r>
      <w:r w:rsidR="002060B8">
        <w:rPr>
          <w:rFonts w:ascii="Arial" w:hAnsi="Arial" w:cs="Arial"/>
          <w:sz w:val="22"/>
          <w:szCs w:val="22"/>
        </w:rPr>
        <w:t>,</w:t>
      </w:r>
      <w:r w:rsidR="00784781">
        <w:rPr>
          <w:rFonts w:ascii="Arial" w:hAnsi="Arial" w:cs="Arial"/>
          <w:sz w:val="22"/>
          <w:szCs w:val="22"/>
        </w:rPr>
        <w:t xml:space="preserve"> </w:t>
      </w:r>
      <w:r w:rsidR="00100E88">
        <w:rPr>
          <w:rFonts w:ascii="Arial" w:hAnsi="Arial" w:cs="Arial"/>
          <w:sz w:val="22"/>
          <w:szCs w:val="22"/>
        </w:rPr>
        <w:t>con il crollo delle</w:t>
      </w:r>
      <w:r w:rsidR="00784781">
        <w:rPr>
          <w:rFonts w:ascii="Arial" w:hAnsi="Arial" w:cs="Arial"/>
          <w:sz w:val="22"/>
          <w:szCs w:val="22"/>
        </w:rPr>
        <w:t xml:space="preserve"> voci di spesa alle quali le famiglie con almeno uno straniero o di soli stranieri destinano quote relativamente minori del loro budget.</w:t>
      </w:r>
    </w:p>
    <w:p w14:paraId="46AF6A44" w14:textId="4D4AE46B" w:rsidR="00CE08D5" w:rsidRDefault="00646743" w:rsidP="00784781">
      <w:pPr>
        <w:pStyle w:val="Default"/>
        <w:spacing w:after="120"/>
        <w:jc w:val="both"/>
        <w:rPr>
          <w:rFonts w:ascii="Arial" w:hAnsi="Arial" w:cs="Arial"/>
          <w:color w:val="auto"/>
          <w:sz w:val="22"/>
          <w:szCs w:val="22"/>
        </w:rPr>
      </w:pPr>
      <w:proofErr w:type="gramStart"/>
      <w:r w:rsidRPr="004E692A">
        <w:rPr>
          <w:rFonts w:ascii="Arial" w:hAnsi="Arial" w:cs="Arial"/>
          <w:color w:val="auto"/>
          <w:sz w:val="22"/>
          <w:szCs w:val="22"/>
        </w:rPr>
        <w:t>Infatti</w:t>
      </w:r>
      <w:proofErr w:type="gramEnd"/>
      <w:r w:rsidRPr="004E692A">
        <w:rPr>
          <w:rFonts w:ascii="Arial" w:hAnsi="Arial" w:cs="Arial"/>
          <w:color w:val="auto"/>
          <w:sz w:val="22"/>
          <w:szCs w:val="22"/>
        </w:rPr>
        <w:t xml:space="preserve"> la spesa alimentare (rimasta sostanzialmente stabile) assorbe il 23,1% del totale tra le famiglie con stranieri (436 euro mensili), il 23,6% (400 euro) se in famiglia sono tutti stranieri e il 19,9% in quelle di soli italiani (471 euro). La quota di spesa per Abitazione, acqua, elettricità e altri combustibili delle famiglie con almeno uno straniero è in linea con quella delle famiglie di soli italiani (rispettivamente 36,9%, pari a 912 euro mensili, e 38,5%, 697 euro al mese). Per le famiglie di soli stranieri la quota è pari al 37,7% del totale (640 euro mensili).</w:t>
      </w:r>
    </w:p>
    <w:p w14:paraId="0D9F125C" w14:textId="77777777" w:rsidR="00650FE2" w:rsidRDefault="00100E88" w:rsidP="00784781">
      <w:pPr>
        <w:pStyle w:val="Default"/>
        <w:spacing w:after="120"/>
        <w:jc w:val="both"/>
        <w:rPr>
          <w:rFonts w:ascii="Arial" w:hAnsi="Arial" w:cs="Arial"/>
          <w:color w:val="auto"/>
          <w:sz w:val="22"/>
          <w:szCs w:val="22"/>
        </w:rPr>
      </w:pPr>
      <w:r w:rsidRPr="002060B8">
        <w:rPr>
          <w:rFonts w:ascii="Arial" w:hAnsi="Arial" w:cs="Arial"/>
          <w:color w:val="auto"/>
          <w:sz w:val="22"/>
          <w:szCs w:val="22"/>
        </w:rPr>
        <w:t>Diversamente</w:t>
      </w:r>
      <w:r w:rsidR="003049FD">
        <w:rPr>
          <w:rFonts w:ascii="Arial" w:hAnsi="Arial" w:cs="Arial"/>
          <w:color w:val="auto"/>
          <w:sz w:val="22"/>
          <w:szCs w:val="22"/>
        </w:rPr>
        <w:t>,</w:t>
      </w:r>
      <w:r w:rsidRPr="002060B8">
        <w:rPr>
          <w:rFonts w:ascii="Arial" w:hAnsi="Arial" w:cs="Arial"/>
          <w:color w:val="auto"/>
          <w:sz w:val="22"/>
          <w:szCs w:val="22"/>
        </w:rPr>
        <w:t xml:space="preserve"> </w:t>
      </w:r>
      <w:r w:rsidR="003049FD">
        <w:rPr>
          <w:rFonts w:ascii="Arial" w:hAnsi="Arial" w:cs="Arial"/>
          <w:color w:val="auto"/>
          <w:sz w:val="22"/>
          <w:szCs w:val="22"/>
        </w:rPr>
        <w:t xml:space="preserve">le quote destinate a </w:t>
      </w:r>
      <w:r w:rsidRPr="002060B8">
        <w:rPr>
          <w:rFonts w:ascii="Arial" w:hAnsi="Arial" w:cs="Arial"/>
          <w:color w:val="auto"/>
          <w:sz w:val="22"/>
          <w:szCs w:val="22"/>
        </w:rPr>
        <w:t xml:space="preserve">Ricreazione, spettacoli e cultura </w:t>
      </w:r>
      <w:r w:rsidR="003049FD">
        <w:rPr>
          <w:rFonts w:ascii="Arial" w:hAnsi="Arial" w:cs="Arial"/>
          <w:color w:val="auto"/>
          <w:sz w:val="22"/>
          <w:szCs w:val="22"/>
        </w:rPr>
        <w:t xml:space="preserve">dalle famiglie con almeno uno straniero sono più contenute rispetto a quelle delle famiglie di soli italiani </w:t>
      </w:r>
      <w:r w:rsidRPr="002060B8">
        <w:rPr>
          <w:rFonts w:ascii="Arial" w:hAnsi="Arial" w:cs="Arial"/>
          <w:color w:val="auto"/>
          <w:sz w:val="22"/>
          <w:szCs w:val="22"/>
        </w:rPr>
        <w:t>(3,5% contro 4,1%; rispettivamente 66 e 96 euro mensili)</w:t>
      </w:r>
      <w:r w:rsidR="00246F0D">
        <w:rPr>
          <w:rFonts w:ascii="Arial" w:hAnsi="Arial" w:cs="Arial"/>
          <w:color w:val="auto"/>
          <w:sz w:val="22"/>
          <w:szCs w:val="22"/>
        </w:rPr>
        <w:t xml:space="preserve">, così come le quote per Servizi ricettivi e di ristorazione (3,0% le </w:t>
      </w:r>
      <w:r w:rsidR="00992F46">
        <w:rPr>
          <w:rFonts w:ascii="Arial" w:hAnsi="Arial" w:cs="Arial"/>
          <w:color w:val="auto"/>
          <w:sz w:val="22"/>
          <w:szCs w:val="22"/>
        </w:rPr>
        <w:t>prime</w:t>
      </w:r>
      <w:r w:rsidR="00246F0D">
        <w:rPr>
          <w:rFonts w:ascii="Arial" w:hAnsi="Arial" w:cs="Arial"/>
          <w:color w:val="auto"/>
          <w:sz w:val="22"/>
          <w:szCs w:val="22"/>
        </w:rPr>
        <w:t xml:space="preserve">, 3,4% le altre, rispettivamente 57 e 82 euro al mese). </w:t>
      </w:r>
      <w:r w:rsidR="00246F0D" w:rsidRPr="00E036F0">
        <w:rPr>
          <w:rFonts w:ascii="Arial" w:hAnsi="Arial" w:cs="Arial"/>
          <w:color w:val="auto"/>
          <w:sz w:val="22"/>
          <w:szCs w:val="22"/>
        </w:rPr>
        <w:t xml:space="preserve">Osservando </w:t>
      </w:r>
      <w:r w:rsidR="00246F0D">
        <w:rPr>
          <w:rFonts w:ascii="Arial" w:hAnsi="Arial" w:cs="Arial"/>
          <w:color w:val="auto"/>
          <w:sz w:val="22"/>
          <w:szCs w:val="22"/>
        </w:rPr>
        <w:t xml:space="preserve">infine </w:t>
      </w:r>
      <w:r w:rsidR="00246F0D" w:rsidRPr="00E036F0">
        <w:rPr>
          <w:rFonts w:ascii="Arial" w:hAnsi="Arial" w:cs="Arial"/>
          <w:color w:val="auto"/>
          <w:sz w:val="22"/>
          <w:szCs w:val="22"/>
        </w:rPr>
        <w:t xml:space="preserve">le famiglie di soli stranieri, </w:t>
      </w:r>
      <w:r w:rsidR="00992F46">
        <w:rPr>
          <w:rFonts w:ascii="Arial" w:hAnsi="Arial" w:cs="Arial"/>
          <w:color w:val="auto"/>
          <w:sz w:val="22"/>
          <w:szCs w:val="22"/>
        </w:rPr>
        <w:t xml:space="preserve">tali </w:t>
      </w:r>
      <w:r w:rsidR="00246F0D" w:rsidRPr="00E036F0">
        <w:rPr>
          <w:rFonts w:ascii="Arial" w:hAnsi="Arial" w:cs="Arial"/>
          <w:color w:val="auto"/>
          <w:sz w:val="22"/>
          <w:szCs w:val="22"/>
        </w:rPr>
        <w:t>quote di spesa scendono ulteriormente: il 3,</w:t>
      </w:r>
      <w:r w:rsidR="00246F0D">
        <w:rPr>
          <w:rFonts w:ascii="Arial" w:hAnsi="Arial" w:cs="Arial"/>
          <w:color w:val="auto"/>
          <w:sz w:val="22"/>
          <w:szCs w:val="22"/>
        </w:rPr>
        <w:t>2</w:t>
      </w:r>
      <w:r w:rsidR="00246F0D" w:rsidRPr="00E036F0">
        <w:rPr>
          <w:rFonts w:ascii="Arial" w:hAnsi="Arial" w:cs="Arial"/>
          <w:color w:val="auto"/>
          <w:sz w:val="22"/>
          <w:szCs w:val="22"/>
        </w:rPr>
        <w:t>% della spesa totale (61 euro mensili) è destinato a Ricreazione, spettacoli e cultura (54 euro</w:t>
      </w:r>
      <w:r w:rsidR="00246F0D">
        <w:rPr>
          <w:rFonts w:ascii="Arial" w:hAnsi="Arial" w:cs="Arial"/>
          <w:color w:val="auto"/>
          <w:sz w:val="22"/>
          <w:szCs w:val="22"/>
        </w:rPr>
        <w:t xml:space="preserve"> mensili</w:t>
      </w:r>
      <w:r w:rsidR="00246F0D" w:rsidRPr="00E036F0">
        <w:rPr>
          <w:rFonts w:ascii="Arial" w:hAnsi="Arial" w:cs="Arial"/>
          <w:color w:val="auto"/>
          <w:sz w:val="22"/>
          <w:szCs w:val="22"/>
        </w:rPr>
        <w:t>)</w:t>
      </w:r>
      <w:r w:rsidR="00246F0D">
        <w:rPr>
          <w:rFonts w:ascii="Arial" w:hAnsi="Arial" w:cs="Arial"/>
          <w:color w:val="auto"/>
          <w:sz w:val="22"/>
          <w:szCs w:val="22"/>
        </w:rPr>
        <w:t xml:space="preserve">, </w:t>
      </w:r>
      <w:r w:rsidR="00246F0D" w:rsidRPr="00E036F0">
        <w:rPr>
          <w:rFonts w:ascii="Arial" w:hAnsi="Arial" w:cs="Arial"/>
          <w:color w:val="auto"/>
          <w:sz w:val="22"/>
          <w:szCs w:val="22"/>
        </w:rPr>
        <w:t xml:space="preserve">il </w:t>
      </w:r>
      <w:r w:rsidR="00246F0D">
        <w:rPr>
          <w:rFonts w:ascii="Arial" w:hAnsi="Arial" w:cs="Arial"/>
          <w:color w:val="auto"/>
          <w:sz w:val="22"/>
          <w:szCs w:val="22"/>
        </w:rPr>
        <w:t>2,8</w:t>
      </w:r>
      <w:r w:rsidR="00246F0D" w:rsidRPr="00E036F0">
        <w:rPr>
          <w:rFonts w:ascii="Arial" w:hAnsi="Arial" w:cs="Arial"/>
          <w:color w:val="auto"/>
          <w:sz w:val="22"/>
          <w:szCs w:val="22"/>
        </w:rPr>
        <w:t>%</w:t>
      </w:r>
      <w:r w:rsidR="00246F0D">
        <w:rPr>
          <w:rFonts w:ascii="Arial" w:hAnsi="Arial" w:cs="Arial"/>
          <w:color w:val="auto"/>
          <w:sz w:val="22"/>
          <w:szCs w:val="22"/>
        </w:rPr>
        <w:t xml:space="preserve"> a Servizi ricettivi e di ristorazione (48 euro)</w:t>
      </w:r>
      <w:r w:rsidR="00246F0D" w:rsidRPr="00E036F0">
        <w:rPr>
          <w:rFonts w:ascii="Arial" w:hAnsi="Arial" w:cs="Arial"/>
          <w:color w:val="auto"/>
          <w:sz w:val="22"/>
          <w:szCs w:val="22"/>
        </w:rPr>
        <w:t>.</w:t>
      </w:r>
      <w:r w:rsidR="00650FE2">
        <w:rPr>
          <w:rFonts w:ascii="Arial" w:hAnsi="Arial" w:cs="Arial"/>
          <w:color w:val="auto"/>
          <w:sz w:val="22"/>
          <w:szCs w:val="22"/>
        </w:rPr>
        <w:t xml:space="preserve"> </w:t>
      </w:r>
    </w:p>
    <w:p w14:paraId="4971E986" w14:textId="0849ADD9" w:rsidR="00B51FED" w:rsidRDefault="00100E88" w:rsidP="00784781">
      <w:pPr>
        <w:pStyle w:val="Default"/>
        <w:spacing w:after="120"/>
        <w:jc w:val="both"/>
        <w:rPr>
          <w:rFonts w:ascii="Arial" w:hAnsi="Arial" w:cs="Arial"/>
          <w:color w:val="auto"/>
          <w:sz w:val="22"/>
          <w:szCs w:val="22"/>
        </w:rPr>
      </w:pPr>
      <w:r>
        <w:rPr>
          <w:rFonts w:ascii="Arial" w:hAnsi="Arial" w:cs="Arial"/>
          <w:color w:val="auto"/>
          <w:sz w:val="22"/>
          <w:szCs w:val="22"/>
        </w:rPr>
        <w:t xml:space="preserve">Da notare anche </w:t>
      </w:r>
      <w:r w:rsidR="00992F46">
        <w:rPr>
          <w:rFonts w:ascii="Arial" w:hAnsi="Arial" w:cs="Arial"/>
          <w:color w:val="auto"/>
          <w:sz w:val="22"/>
          <w:szCs w:val="22"/>
        </w:rPr>
        <w:t>che</w:t>
      </w:r>
      <w:r>
        <w:rPr>
          <w:rFonts w:ascii="Arial" w:hAnsi="Arial" w:cs="Arial"/>
          <w:color w:val="auto"/>
          <w:sz w:val="22"/>
          <w:szCs w:val="22"/>
        </w:rPr>
        <w:t>, analogamente a</w:t>
      </w:r>
      <w:r w:rsidR="00B51FED" w:rsidRPr="00CA3035">
        <w:rPr>
          <w:rFonts w:ascii="Arial" w:hAnsi="Arial" w:cs="Arial"/>
          <w:color w:val="auto"/>
          <w:sz w:val="22"/>
          <w:szCs w:val="22"/>
        </w:rPr>
        <w:t xml:space="preserve">gli anni precedenti, la quota di spesa destinata alle Comunicazioni </w:t>
      </w:r>
      <w:r>
        <w:rPr>
          <w:rFonts w:ascii="Arial" w:hAnsi="Arial" w:cs="Arial"/>
          <w:color w:val="auto"/>
          <w:sz w:val="22"/>
          <w:szCs w:val="22"/>
        </w:rPr>
        <w:t>è</w:t>
      </w:r>
      <w:r w:rsidR="00B51FED" w:rsidRPr="00CA3035">
        <w:rPr>
          <w:rFonts w:ascii="Arial" w:hAnsi="Arial" w:cs="Arial"/>
          <w:color w:val="auto"/>
          <w:sz w:val="22"/>
          <w:szCs w:val="22"/>
        </w:rPr>
        <w:t xml:space="preserve"> più elevata tra le famiglie con almeno uno straniero (2,8%</w:t>
      </w:r>
      <w:r w:rsidR="00B51FED">
        <w:rPr>
          <w:rFonts w:ascii="Arial" w:hAnsi="Arial" w:cs="Arial"/>
          <w:color w:val="auto"/>
          <w:sz w:val="22"/>
          <w:szCs w:val="22"/>
        </w:rPr>
        <w:t>, pari a 53 euro mensili</w:t>
      </w:r>
      <w:r w:rsidR="00B51FED" w:rsidRPr="00CA3035">
        <w:rPr>
          <w:rFonts w:ascii="Arial" w:hAnsi="Arial" w:cs="Arial"/>
          <w:color w:val="auto"/>
          <w:sz w:val="22"/>
          <w:szCs w:val="22"/>
        </w:rPr>
        <w:t>), in particolare tra quelle di soli stranieri (3,0%</w:t>
      </w:r>
      <w:r w:rsidR="00B51FED">
        <w:rPr>
          <w:rFonts w:ascii="Arial" w:hAnsi="Arial" w:cs="Arial"/>
          <w:color w:val="auto"/>
          <w:sz w:val="22"/>
          <w:szCs w:val="22"/>
        </w:rPr>
        <w:t>, 51 euro</w:t>
      </w:r>
      <w:r w:rsidR="00B51FED" w:rsidRPr="00CA3035">
        <w:rPr>
          <w:rFonts w:ascii="Arial" w:hAnsi="Arial" w:cs="Arial"/>
          <w:color w:val="auto"/>
          <w:sz w:val="22"/>
          <w:szCs w:val="22"/>
        </w:rPr>
        <w:t>) rispetto alle famiglie di soli italiani (2,3%</w:t>
      </w:r>
      <w:r w:rsidR="00B51FED">
        <w:rPr>
          <w:rFonts w:ascii="Arial" w:hAnsi="Arial" w:cs="Arial"/>
          <w:color w:val="auto"/>
          <w:sz w:val="22"/>
          <w:szCs w:val="22"/>
        </w:rPr>
        <w:t>, 54 euro</w:t>
      </w:r>
      <w:r w:rsidR="00B51FED" w:rsidRPr="00CA3035">
        <w:rPr>
          <w:rFonts w:ascii="Arial" w:hAnsi="Arial" w:cs="Arial"/>
          <w:color w:val="auto"/>
          <w:sz w:val="22"/>
          <w:szCs w:val="22"/>
        </w:rPr>
        <w:t xml:space="preserve">) </w:t>
      </w:r>
      <w:r>
        <w:rPr>
          <w:rFonts w:ascii="Arial" w:hAnsi="Arial" w:cs="Arial"/>
          <w:color w:val="auto"/>
          <w:sz w:val="22"/>
          <w:szCs w:val="22"/>
        </w:rPr>
        <w:t>anche</w:t>
      </w:r>
      <w:r w:rsidR="00D94FDD" w:rsidRPr="00CA3035">
        <w:rPr>
          <w:rFonts w:ascii="Arial" w:hAnsi="Arial" w:cs="Arial"/>
          <w:color w:val="auto"/>
          <w:sz w:val="22"/>
          <w:szCs w:val="22"/>
        </w:rPr>
        <w:t xml:space="preserve"> </w:t>
      </w:r>
      <w:r w:rsidR="00B51FED" w:rsidRPr="00CA3035">
        <w:rPr>
          <w:rFonts w:ascii="Arial" w:hAnsi="Arial" w:cs="Arial"/>
          <w:color w:val="auto"/>
          <w:sz w:val="22"/>
          <w:szCs w:val="22"/>
        </w:rPr>
        <w:t xml:space="preserve">per effetto dei contatti con la rete familiare </w:t>
      </w:r>
      <w:r w:rsidR="00B51FED" w:rsidRPr="00E036F0">
        <w:rPr>
          <w:rFonts w:ascii="Arial" w:hAnsi="Arial" w:cs="Arial"/>
          <w:color w:val="auto"/>
          <w:sz w:val="22"/>
          <w:szCs w:val="22"/>
        </w:rPr>
        <w:t>e amicale nei paesi di origine</w:t>
      </w:r>
      <w:r w:rsidR="00246F0D">
        <w:rPr>
          <w:rFonts w:ascii="Arial" w:hAnsi="Arial" w:cs="Arial"/>
          <w:color w:val="auto"/>
          <w:sz w:val="22"/>
          <w:szCs w:val="22"/>
        </w:rPr>
        <w:t>.</w:t>
      </w:r>
    </w:p>
    <w:p w14:paraId="0EF76681" w14:textId="1B84D25E" w:rsidR="00F64249" w:rsidRPr="00454FF1" w:rsidRDefault="00F64249" w:rsidP="00454FF1">
      <w:pPr>
        <w:jc w:val="both"/>
        <w:rPr>
          <w:rFonts w:ascii="Arial" w:hAnsi="Arial" w:cs="Arial"/>
        </w:rPr>
      </w:pPr>
    </w:p>
    <w:p w14:paraId="4C430838" w14:textId="6A12DDC4" w:rsidR="00745212" w:rsidRPr="005032AB" w:rsidRDefault="00745212" w:rsidP="00745212">
      <w:pPr>
        <w:pStyle w:val="Default"/>
        <w:spacing w:after="120"/>
        <w:jc w:val="both"/>
        <w:rPr>
          <w:rFonts w:ascii="Arial" w:hAnsi="Arial" w:cs="Arial"/>
          <w:b/>
          <w:color w:val="1F497D"/>
          <w:sz w:val="26"/>
          <w:szCs w:val="26"/>
        </w:rPr>
      </w:pPr>
      <w:r w:rsidRPr="005032AB">
        <w:rPr>
          <w:rFonts w:ascii="Arial" w:hAnsi="Arial" w:cs="Arial"/>
          <w:b/>
          <w:color w:val="1F497D"/>
          <w:sz w:val="26"/>
          <w:szCs w:val="26"/>
        </w:rPr>
        <w:t>Stabile la spesa per affitto</w:t>
      </w:r>
      <w:r w:rsidR="00CE08D5">
        <w:rPr>
          <w:rFonts w:ascii="Arial" w:hAnsi="Arial" w:cs="Arial"/>
          <w:b/>
          <w:color w:val="1F497D"/>
          <w:sz w:val="26"/>
          <w:szCs w:val="26"/>
        </w:rPr>
        <w:t>, p</w:t>
      </w:r>
      <w:r w:rsidRPr="005032AB">
        <w:rPr>
          <w:rFonts w:ascii="Arial" w:hAnsi="Arial" w:cs="Arial"/>
          <w:b/>
          <w:color w:val="1F497D"/>
          <w:sz w:val="26"/>
          <w:szCs w:val="26"/>
        </w:rPr>
        <w:t xml:space="preserve">aga un mutuo una famiglia proprietaria su cinque </w:t>
      </w:r>
    </w:p>
    <w:p w14:paraId="429F191C" w14:textId="5220FA02" w:rsidR="00745212" w:rsidRDefault="00745212" w:rsidP="00745212">
      <w:pPr>
        <w:spacing w:after="120"/>
        <w:jc w:val="both"/>
        <w:rPr>
          <w:rFonts w:ascii="Arial" w:hAnsi="Arial" w:cs="Arial"/>
          <w:sz w:val="22"/>
          <w:szCs w:val="22"/>
        </w:rPr>
      </w:pPr>
      <w:r w:rsidRPr="00207FB4">
        <w:rPr>
          <w:rFonts w:ascii="Arial" w:hAnsi="Arial" w:cs="Arial"/>
          <w:sz w:val="22"/>
          <w:szCs w:val="22"/>
        </w:rPr>
        <w:t>In Italia, il 18,</w:t>
      </w:r>
      <w:r>
        <w:rPr>
          <w:rFonts w:ascii="Arial" w:hAnsi="Arial" w:cs="Arial"/>
          <w:sz w:val="22"/>
          <w:szCs w:val="22"/>
        </w:rPr>
        <w:t>3</w:t>
      </w:r>
      <w:r w:rsidRPr="00207FB4">
        <w:rPr>
          <w:rFonts w:ascii="Arial" w:hAnsi="Arial" w:cs="Arial"/>
          <w:sz w:val="22"/>
          <w:szCs w:val="22"/>
        </w:rPr>
        <w:t>% delle famiglie paga un affitto per l’abitazione in cui vive. La percentuale va dal minimo delle Isole (1</w:t>
      </w:r>
      <w:r>
        <w:rPr>
          <w:rFonts w:ascii="Arial" w:hAnsi="Arial" w:cs="Arial"/>
          <w:sz w:val="22"/>
          <w:szCs w:val="22"/>
        </w:rPr>
        <w:t>5</w:t>
      </w:r>
      <w:r w:rsidRPr="00207FB4">
        <w:rPr>
          <w:rFonts w:ascii="Arial" w:hAnsi="Arial" w:cs="Arial"/>
          <w:sz w:val="22"/>
          <w:szCs w:val="22"/>
        </w:rPr>
        <w:t>,</w:t>
      </w:r>
      <w:r>
        <w:rPr>
          <w:rFonts w:ascii="Arial" w:hAnsi="Arial" w:cs="Arial"/>
          <w:sz w:val="22"/>
          <w:szCs w:val="22"/>
        </w:rPr>
        <w:t>7</w:t>
      </w:r>
      <w:r w:rsidRPr="00207FB4">
        <w:rPr>
          <w:rFonts w:ascii="Arial" w:hAnsi="Arial" w:cs="Arial"/>
          <w:sz w:val="22"/>
          <w:szCs w:val="22"/>
        </w:rPr>
        <w:t>%) al massimo del Nord-ovest (</w:t>
      </w:r>
      <w:r>
        <w:rPr>
          <w:rFonts w:ascii="Arial" w:hAnsi="Arial" w:cs="Arial"/>
          <w:sz w:val="22"/>
          <w:szCs w:val="22"/>
        </w:rPr>
        <w:t>19</w:t>
      </w:r>
      <w:r w:rsidRPr="00207FB4">
        <w:rPr>
          <w:rFonts w:ascii="Arial" w:hAnsi="Arial" w:cs="Arial"/>
          <w:sz w:val="22"/>
          <w:szCs w:val="22"/>
        </w:rPr>
        <w:t>,</w:t>
      </w:r>
      <w:r>
        <w:rPr>
          <w:rFonts w:ascii="Arial" w:hAnsi="Arial" w:cs="Arial"/>
          <w:sz w:val="22"/>
          <w:szCs w:val="22"/>
        </w:rPr>
        <w:t>9</w:t>
      </w:r>
      <w:r w:rsidRPr="00207FB4">
        <w:rPr>
          <w:rFonts w:ascii="Arial" w:hAnsi="Arial" w:cs="Arial"/>
          <w:sz w:val="22"/>
          <w:szCs w:val="22"/>
        </w:rPr>
        <w:t>%). La spesa media per le famiglie che pagano un affitto è di 4</w:t>
      </w:r>
      <w:r>
        <w:rPr>
          <w:rFonts w:ascii="Arial" w:hAnsi="Arial" w:cs="Arial"/>
          <w:sz w:val="22"/>
          <w:szCs w:val="22"/>
        </w:rPr>
        <w:t>14</w:t>
      </w:r>
      <w:r w:rsidRPr="00207FB4">
        <w:rPr>
          <w:rFonts w:ascii="Arial" w:hAnsi="Arial" w:cs="Arial"/>
          <w:sz w:val="22"/>
          <w:szCs w:val="22"/>
        </w:rPr>
        <w:t xml:space="preserve"> euro mensili a livello nazionale, </w:t>
      </w:r>
      <w:r>
        <w:rPr>
          <w:rFonts w:ascii="Arial" w:hAnsi="Arial" w:cs="Arial"/>
          <w:sz w:val="22"/>
          <w:szCs w:val="22"/>
        </w:rPr>
        <w:t xml:space="preserve">stabile rispetto al 2019; tale esborso è </w:t>
      </w:r>
      <w:r w:rsidRPr="00207FB4">
        <w:rPr>
          <w:rFonts w:ascii="Arial" w:hAnsi="Arial" w:cs="Arial"/>
          <w:sz w:val="22"/>
          <w:szCs w:val="22"/>
        </w:rPr>
        <w:t>più alt</w:t>
      </w:r>
      <w:r>
        <w:rPr>
          <w:rFonts w:ascii="Arial" w:hAnsi="Arial" w:cs="Arial"/>
          <w:sz w:val="22"/>
          <w:szCs w:val="22"/>
        </w:rPr>
        <w:t>o</w:t>
      </w:r>
      <w:r w:rsidRPr="00207FB4">
        <w:rPr>
          <w:rFonts w:ascii="Arial" w:hAnsi="Arial" w:cs="Arial"/>
          <w:sz w:val="22"/>
          <w:szCs w:val="22"/>
        </w:rPr>
        <w:t xml:space="preserve"> nel Centro (469 euro) e nel Nord (4</w:t>
      </w:r>
      <w:r>
        <w:rPr>
          <w:rFonts w:ascii="Arial" w:hAnsi="Arial" w:cs="Arial"/>
          <w:sz w:val="22"/>
          <w:szCs w:val="22"/>
        </w:rPr>
        <w:t>46</w:t>
      </w:r>
      <w:r w:rsidRPr="00207FB4">
        <w:rPr>
          <w:rFonts w:ascii="Arial" w:hAnsi="Arial" w:cs="Arial"/>
          <w:sz w:val="22"/>
          <w:szCs w:val="22"/>
        </w:rPr>
        <w:t xml:space="preserve"> euro nel Nord-est euro e 4</w:t>
      </w:r>
      <w:r>
        <w:rPr>
          <w:rFonts w:ascii="Arial" w:hAnsi="Arial" w:cs="Arial"/>
          <w:sz w:val="22"/>
          <w:szCs w:val="22"/>
        </w:rPr>
        <w:t xml:space="preserve">42 </w:t>
      </w:r>
      <w:r w:rsidRPr="00207FB4">
        <w:rPr>
          <w:rFonts w:ascii="Arial" w:hAnsi="Arial" w:cs="Arial"/>
          <w:sz w:val="22"/>
          <w:szCs w:val="22"/>
        </w:rPr>
        <w:t>nel Nord-ovest) rispetto a Sud (3</w:t>
      </w:r>
      <w:r>
        <w:rPr>
          <w:rFonts w:ascii="Arial" w:hAnsi="Arial" w:cs="Arial"/>
          <w:sz w:val="22"/>
          <w:szCs w:val="22"/>
        </w:rPr>
        <w:t xml:space="preserve">27 </w:t>
      </w:r>
      <w:r w:rsidRPr="00207FB4">
        <w:rPr>
          <w:rFonts w:ascii="Arial" w:hAnsi="Arial" w:cs="Arial"/>
          <w:sz w:val="22"/>
          <w:szCs w:val="22"/>
        </w:rPr>
        <w:t>euro) e Isole (</w:t>
      </w:r>
      <w:r>
        <w:rPr>
          <w:rFonts w:ascii="Arial" w:hAnsi="Arial" w:cs="Arial"/>
          <w:sz w:val="22"/>
          <w:szCs w:val="22"/>
        </w:rPr>
        <w:t>332</w:t>
      </w:r>
      <w:r w:rsidRPr="00207FB4">
        <w:rPr>
          <w:rFonts w:ascii="Arial" w:hAnsi="Arial" w:cs="Arial"/>
          <w:sz w:val="22"/>
          <w:szCs w:val="22"/>
        </w:rPr>
        <w:t xml:space="preserve"> euro).</w:t>
      </w:r>
      <w:r w:rsidRPr="003616E2">
        <w:rPr>
          <w:rFonts w:ascii="Arial" w:hAnsi="Arial" w:cs="Arial"/>
          <w:sz w:val="22"/>
          <w:szCs w:val="22"/>
        </w:rPr>
        <w:t xml:space="preserve"> </w:t>
      </w:r>
      <w:r w:rsidRPr="00207FB4">
        <w:rPr>
          <w:rFonts w:ascii="Arial" w:hAnsi="Arial" w:cs="Arial"/>
          <w:sz w:val="22"/>
          <w:szCs w:val="22"/>
        </w:rPr>
        <w:t xml:space="preserve">La quota più elevata di famiglie in affitto si registra nei comuni centro </w:t>
      </w:r>
      <w:r>
        <w:rPr>
          <w:rFonts w:ascii="Arial" w:hAnsi="Arial" w:cs="Arial"/>
          <w:sz w:val="22"/>
          <w:szCs w:val="22"/>
        </w:rPr>
        <w:t>di area</w:t>
      </w:r>
      <w:r w:rsidRPr="00207FB4">
        <w:rPr>
          <w:rFonts w:ascii="Arial" w:hAnsi="Arial" w:cs="Arial"/>
          <w:sz w:val="22"/>
          <w:szCs w:val="22"/>
        </w:rPr>
        <w:t xml:space="preserve"> metropolitan</w:t>
      </w:r>
      <w:r>
        <w:rPr>
          <w:rFonts w:ascii="Arial" w:hAnsi="Arial" w:cs="Arial"/>
          <w:sz w:val="22"/>
          <w:szCs w:val="22"/>
        </w:rPr>
        <w:t xml:space="preserve">a (27,8%), dove </w:t>
      </w:r>
      <w:r w:rsidRPr="00207FB4">
        <w:rPr>
          <w:rFonts w:ascii="Arial" w:hAnsi="Arial" w:cs="Arial"/>
          <w:sz w:val="22"/>
          <w:szCs w:val="22"/>
        </w:rPr>
        <w:t>si paga mediamente un affitto pari a 49</w:t>
      </w:r>
      <w:r>
        <w:rPr>
          <w:rFonts w:ascii="Arial" w:hAnsi="Arial" w:cs="Arial"/>
          <w:sz w:val="22"/>
          <w:szCs w:val="22"/>
        </w:rPr>
        <w:t>6</w:t>
      </w:r>
      <w:r w:rsidRPr="00207FB4">
        <w:rPr>
          <w:rFonts w:ascii="Arial" w:hAnsi="Arial" w:cs="Arial"/>
          <w:sz w:val="22"/>
          <w:szCs w:val="22"/>
        </w:rPr>
        <w:t xml:space="preserve"> euro mensili</w:t>
      </w:r>
      <w:r>
        <w:rPr>
          <w:rFonts w:ascii="Arial" w:hAnsi="Arial" w:cs="Arial"/>
          <w:sz w:val="22"/>
          <w:szCs w:val="22"/>
        </w:rPr>
        <w:t xml:space="preserve">. </w:t>
      </w:r>
    </w:p>
    <w:p w14:paraId="5453F616" w14:textId="056F2928" w:rsidR="00745212" w:rsidRPr="00F41A70" w:rsidRDefault="00745212" w:rsidP="005032AB">
      <w:pPr>
        <w:jc w:val="both"/>
        <w:rPr>
          <w:rFonts w:ascii="Arial" w:hAnsi="Arial" w:cs="Arial"/>
          <w:sz w:val="20"/>
          <w:szCs w:val="22"/>
        </w:rPr>
      </w:pPr>
    </w:p>
    <w:p w14:paraId="03121A91" w14:textId="0E534803" w:rsidR="00B57AD1" w:rsidRDefault="00510790" w:rsidP="000E3B69">
      <w:pPr>
        <w:pStyle w:val="ATitoloTavolaFigura"/>
        <w:keepNext/>
        <w:spacing w:before="0" w:after="0"/>
        <w:ind w:left="0" w:firstLine="0"/>
        <w:rPr>
          <w:rFonts w:ascii="Arial Narrow" w:hAnsi="Arial Narrow"/>
          <w:b w:val="0"/>
          <w:iCs/>
          <w:noProof/>
          <w:color w:val="1F497D" w:themeColor="text2"/>
          <w:sz w:val="22"/>
          <w:szCs w:val="22"/>
        </w:rPr>
      </w:pPr>
      <w:r w:rsidRPr="00CC09D8">
        <w:rPr>
          <w:rFonts w:ascii="Arial Black" w:hAnsi="Arial Black"/>
          <w:iCs/>
          <w:noProof/>
          <w:color w:val="1F497D" w:themeColor="text2"/>
          <w:sz w:val="22"/>
          <w:szCs w:val="22"/>
        </w:rPr>
        <w:t xml:space="preserve">FIGURA </w:t>
      </w:r>
      <w:r>
        <w:rPr>
          <w:rFonts w:ascii="Arial Black" w:hAnsi="Arial Black"/>
          <w:iCs/>
          <w:noProof/>
          <w:color w:val="1F497D" w:themeColor="text2"/>
          <w:sz w:val="22"/>
          <w:szCs w:val="22"/>
        </w:rPr>
        <w:t>5</w:t>
      </w:r>
      <w:r w:rsidRPr="00CC09D8">
        <w:rPr>
          <w:rFonts w:ascii="Arial Black" w:hAnsi="Arial Black"/>
          <w:iCs/>
          <w:noProof/>
          <w:color w:val="1F497D" w:themeColor="text2"/>
          <w:sz w:val="22"/>
          <w:szCs w:val="22"/>
        </w:rPr>
        <w:t>.</w:t>
      </w:r>
      <w:r w:rsidRPr="00EA4D4F">
        <w:rPr>
          <w:rFonts w:ascii="Arial" w:hAnsi="Arial"/>
          <w:iCs/>
        </w:rPr>
        <w:t xml:space="preserve"> </w:t>
      </w:r>
      <w:r w:rsidR="00403B64">
        <w:rPr>
          <w:rFonts w:ascii="Arial Narrow" w:hAnsi="Arial Narrow"/>
          <w:iCs/>
          <w:noProof/>
          <w:color w:val="1F497D" w:themeColor="text2"/>
          <w:sz w:val="22"/>
          <w:szCs w:val="22"/>
        </w:rPr>
        <w:t xml:space="preserve">SPESA MEDIA MENSILE TOTALE, </w:t>
      </w:r>
      <w:r w:rsidR="00403B64" w:rsidRPr="00F05274">
        <w:rPr>
          <w:rFonts w:ascii="Arial Narrow" w:hAnsi="Arial Narrow"/>
          <w:iCs/>
          <w:noProof/>
          <w:color w:val="1F497D" w:themeColor="text2"/>
          <w:sz w:val="22"/>
          <w:szCs w:val="22"/>
        </w:rPr>
        <w:t>PER ALIMENTARI E BEVANDE ANALCOLICHE</w:t>
      </w:r>
      <w:r w:rsidR="00403B64">
        <w:rPr>
          <w:rFonts w:ascii="Arial Narrow" w:hAnsi="Arial Narrow"/>
          <w:iCs/>
          <w:noProof/>
          <w:color w:val="1F497D" w:themeColor="text2"/>
          <w:sz w:val="22"/>
          <w:szCs w:val="22"/>
        </w:rPr>
        <w:t xml:space="preserve"> E </w:t>
      </w:r>
      <w:r w:rsidR="00403B64" w:rsidRPr="00F05274">
        <w:rPr>
          <w:rFonts w:ascii="Arial Narrow" w:hAnsi="Arial Narrow"/>
          <w:iCs/>
          <w:noProof/>
          <w:color w:val="1F497D" w:themeColor="text2"/>
          <w:sz w:val="22"/>
          <w:szCs w:val="22"/>
        </w:rPr>
        <w:t>PER BENI E SERVIZI NON ALIMENTARI</w:t>
      </w:r>
      <w:r w:rsidR="00403B64">
        <w:rPr>
          <w:rFonts w:ascii="Arial Narrow" w:hAnsi="Arial Narrow"/>
          <w:iCs/>
          <w:noProof/>
          <w:color w:val="1F497D" w:themeColor="text2"/>
          <w:sz w:val="22"/>
          <w:szCs w:val="22"/>
        </w:rPr>
        <w:t xml:space="preserve"> </w:t>
      </w:r>
      <w:r w:rsidR="00A237A8">
        <w:rPr>
          <w:rFonts w:ascii="Arial Narrow" w:hAnsi="Arial Narrow"/>
          <w:iCs/>
          <w:noProof/>
          <w:color w:val="1F497D" w:themeColor="text2"/>
          <w:sz w:val="22"/>
          <w:szCs w:val="22"/>
        </w:rPr>
        <w:t xml:space="preserve">SECONDO LA </w:t>
      </w:r>
      <w:r w:rsidR="00403B64">
        <w:rPr>
          <w:rFonts w:ascii="Arial Narrow" w:hAnsi="Arial Narrow"/>
          <w:iCs/>
          <w:noProof/>
          <w:color w:val="1F497D" w:themeColor="text2"/>
          <w:sz w:val="22"/>
          <w:szCs w:val="22"/>
        </w:rPr>
        <w:t>CITTADINANZA DEI COMPONENTI</w:t>
      </w:r>
      <w:r w:rsidR="00403B64" w:rsidRPr="00A23AE3">
        <w:rPr>
          <w:rFonts w:ascii="Arial Narrow" w:hAnsi="Arial Narrow"/>
          <w:iCs/>
          <w:noProof/>
          <w:color w:val="1F497D" w:themeColor="text2"/>
          <w:sz w:val="22"/>
          <w:szCs w:val="22"/>
        </w:rPr>
        <w:t xml:space="preserve">. </w:t>
      </w:r>
      <w:r w:rsidR="00403B64" w:rsidRPr="00A23AE3">
        <w:rPr>
          <w:rFonts w:ascii="Arial Narrow" w:hAnsi="Arial Narrow"/>
          <w:b w:val="0"/>
          <w:iCs/>
          <w:noProof/>
          <w:color w:val="1F497D" w:themeColor="text2"/>
          <w:sz w:val="22"/>
          <w:szCs w:val="22"/>
        </w:rPr>
        <w:t xml:space="preserve">Anno </w:t>
      </w:r>
      <w:r w:rsidR="00C70D65">
        <w:rPr>
          <w:rFonts w:ascii="Arial Narrow" w:hAnsi="Arial Narrow"/>
          <w:b w:val="0"/>
          <w:iCs/>
          <w:noProof/>
          <w:color w:val="1F497D" w:themeColor="text2"/>
          <w:sz w:val="22"/>
          <w:szCs w:val="22"/>
        </w:rPr>
        <w:t>2020</w:t>
      </w:r>
      <w:r w:rsidR="00403B64" w:rsidRPr="00A23AE3">
        <w:rPr>
          <w:rFonts w:ascii="Arial Narrow" w:hAnsi="Arial Narrow"/>
          <w:b w:val="0"/>
          <w:iCs/>
          <w:noProof/>
          <w:color w:val="1F497D" w:themeColor="text2"/>
          <w:sz w:val="22"/>
          <w:szCs w:val="22"/>
        </w:rPr>
        <w:t>,</w:t>
      </w:r>
      <w:r w:rsidR="00403B64">
        <w:rPr>
          <w:rFonts w:ascii="Arial Narrow" w:hAnsi="Arial Narrow"/>
          <w:b w:val="0"/>
          <w:iCs/>
          <w:noProof/>
          <w:color w:val="1F497D" w:themeColor="text2"/>
          <w:sz w:val="22"/>
          <w:szCs w:val="22"/>
        </w:rPr>
        <w:t xml:space="preserve"> valori in euro</w:t>
      </w:r>
    </w:p>
    <w:p w14:paraId="2BFE4BCB" w14:textId="54697982" w:rsidR="00D77EF0" w:rsidRDefault="00D77EF0" w:rsidP="000E3B69">
      <w:pPr>
        <w:pStyle w:val="ATitoloTavolaFigura"/>
        <w:keepNext/>
        <w:spacing w:before="0" w:after="0"/>
        <w:ind w:left="0" w:firstLine="0"/>
        <w:rPr>
          <w:rFonts w:ascii="Arial Narrow" w:hAnsi="Arial Narrow"/>
          <w:b w:val="0"/>
          <w:iCs/>
          <w:noProof/>
          <w:color w:val="1F497D" w:themeColor="text2"/>
          <w:sz w:val="22"/>
          <w:szCs w:val="22"/>
        </w:rPr>
      </w:pPr>
    </w:p>
    <w:p w14:paraId="6D67536E" w14:textId="5FADBC62" w:rsidR="00D77EF0" w:rsidRPr="000E3B69" w:rsidRDefault="00D77EF0" w:rsidP="000E3B69">
      <w:pPr>
        <w:pStyle w:val="ATitoloTavolaFigura"/>
        <w:keepNext/>
        <w:spacing w:before="0" w:after="0"/>
        <w:ind w:left="0" w:firstLine="0"/>
        <w:rPr>
          <w:rFonts w:ascii="Arial Narrow" w:hAnsi="Arial Narrow"/>
          <w:b w:val="0"/>
          <w:iCs/>
          <w:noProof/>
          <w:color w:val="1F497D" w:themeColor="text2"/>
          <w:sz w:val="22"/>
          <w:szCs w:val="22"/>
        </w:rPr>
      </w:pPr>
      <w:r>
        <w:rPr>
          <w:noProof/>
        </w:rPr>
        <w:drawing>
          <wp:inline distT="0" distB="0" distL="0" distR="0" wp14:anchorId="2720E7BA" wp14:editId="6AEFD5F7">
            <wp:extent cx="6300000" cy="2160000"/>
            <wp:effectExtent l="0" t="0" r="0" b="0"/>
            <wp:docPr id="31" name="Grafico 3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9501EB" w14:textId="296187E9" w:rsidR="005032AB" w:rsidRDefault="00745212" w:rsidP="005664A3">
      <w:pPr>
        <w:rPr>
          <w:rFonts w:ascii="Arial Narrow" w:hAnsi="Arial Narrow"/>
          <w:sz w:val="15"/>
          <w:szCs w:val="15"/>
        </w:rPr>
      </w:pPr>
      <w:r w:rsidRPr="00E83D14">
        <w:rPr>
          <w:rFonts w:ascii="Arial Narrow" w:hAnsi="Arial Narrow"/>
          <w:b/>
          <w:noProof/>
          <w:sz w:val="15"/>
          <w:szCs w:val="15"/>
        </w:rPr>
        <mc:AlternateContent>
          <mc:Choice Requires="wps">
            <w:drawing>
              <wp:anchor distT="0" distB="0" distL="114300" distR="114300" simplePos="0" relativeHeight="251728896" behindDoc="0" locked="0" layoutInCell="1" allowOverlap="1" wp14:anchorId="6C931159" wp14:editId="07B2EC88">
                <wp:simplePos x="0" y="0"/>
                <wp:positionH relativeFrom="column">
                  <wp:posOffset>219075</wp:posOffset>
                </wp:positionH>
                <wp:positionV relativeFrom="paragraph">
                  <wp:posOffset>2102391</wp:posOffset>
                </wp:positionV>
                <wp:extent cx="219075" cy="14039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3985"/>
                        </a:xfrm>
                        <a:prstGeom prst="rect">
                          <a:avLst/>
                        </a:prstGeom>
                        <a:solidFill>
                          <a:srgbClr val="FFFFFF">
                            <a:alpha val="0"/>
                          </a:srgbClr>
                        </a:solidFill>
                        <a:ln w="9525">
                          <a:noFill/>
                          <a:miter lim="800000"/>
                          <a:headEnd/>
                          <a:tailEnd/>
                        </a:ln>
                      </wps:spPr>
                      <wps:txbx>
                        <w:txbxContent>
                          <w:p w14:paraId="11A22ECC" w14:textId="77777777" w:rsidR="00E54B3D" w:rsidRPr="00E83D14" w:rsidRDefault="00E54B3D" w:rsidP="00745212">
                            <w:pPr>
                              <w:rPr>
                                <w:rFonts w:ascii="Arial Narrow" w:hAnsi="Arial Narrow"/>
                                <w:sz w:val="16"/>
                                <w:szCs w:val="16"/>
                              </w:rPr>
                            </w:pPr>
                            <w:r w:rsidRPr="00E83D14">
                              <w:rPr>
                                <w:rFonts w:ascii="Arial Narrow" w:hAnsi="Arial Narrow"/>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31159" id="_x0000_s1027" type="#_x0000_t202" style="position:absolute;margin-left:17.25pt;margin-top:165.55pt;width:17.2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" stroked="f">
                <v:fill opacity="0"/>
                <v:textbox style="mso-fit-shape-to-text:t">
                  <w:txbxContent>
                    <w:p w14:paraId="11A22ECC" w14:textId="77777777" w:rsidR="00E54B3D" w:rsidRPr="00E83D14" w:rsidRDefault="00E54B3D" w:rsidP="00745212">
                      <w:pPr>
                        <w:rPr>
                          <w:rFonts w:ascii="Arial Narrow" w:hAnsi="Arial Narrow"/>
                          <w:sz w:val="16"/>
                          <w:szCs w:val="16"/>
                        </w:rPr>
                      </w:pPr>
                      <w:r w:rsidRPr="00E83D14">
                        <w:rPr>
                          <w:rFonts w:ascii="Arial Narrow" w:hAnsi="Arial Narrow"/>
                          <w:sz w:val="16"/>
                          <w:szCs w:val="16"/>
                        </w:rPr>
                        <w:t>€</w:t>
                      </w:r>
                    </w:p>
                  </w:txbxContent>
                </v:textbox>
              </v:shape>
            </w:pict>
          </mc:Fallback>
        </mc:AlternateContent>
      </w:r>
      <w:r w:rsidR="005032AB">
        <w:rPr>
          <w:rFonts w:ascii="Arial Narrow" w:hAnsi="Arial Narrow"/>
          <w:sz w:val="15"/>
          <w:szCs w:val="15"/>
        </w:rPr>
        <w:br w:type="page"/>
      </w:r>
    </w:p>
    <w:p w14:paraId="000BA61C" w14:textId="77777777" w:rsidR="00781053" w:rsidRDefault="00781053" w:rsidP="002C7A80">
      <w:pPr>
        <w:spacing w:after="120"/>
        <w:jc w:val="both"/>
        <w:rPr>
          <w:rFonts w:ascii="Arial" w:hAnsi="Arial" w:cs="Arial"/>
          <w:sz w:val="22"/>
          <w:szCs w:val="22"/>
        </w:rPr>
      </w:pPr>
    </w:p>
    <w:p w14:paraId="7329293B" w14:textId="4ACE1102" w:rsidR="00F41A70" w:rsidRDefault="00F41A70" w:rsidP="002C7A80">
      <w:pPr>
        <w:pStyle w:val="Default"/>
        <w:spacing w:after="120"/>
        <w:jc w:val="both"/>
        <w:rPr>
          <w:rFonts w:ascii="Arial" w:hAnsi="Arial" w:cs="Arial"/>
          <w:color w:val="auto"/>
          <w:sz w:val="22"/>
          <w:szCs w:val="18"/>
        </w:rPr>
      </w:pPr>
      <w:r w:rsidRPr="00207FB4">
        <w:rPr>
          <w:rFonts w:ascii="Arial" w:hAnsi="Arial" w:cs="Arial"/>
          <w:sz w:val="22"/>
          <w:szCs w:val="22"/>
        </w:rPr>
        <w:t>Paga un mutuo il 19,</w:t>
      </w:r>
      <w:r>
        <w:rPr>
          <w:rFonts w:ascii="Arial" w:hAnsi="Arial" w:cs="Arial"/>
          <w:sz w:val="22"/>
          <w:szCs w:val="22"/>
        </w:rPr>
        <w:t>5</w:t>
      </w:r>
      <w:r w:rsidRPr="00207FB4">
        <w:rPr>
          <w:rFonts w:ascii="Arial" w:hAnsi="Arial" w:cs="Arial"/>
          <w:sz w:val="22"/>
          <w:szCs w:val="22"/>
        </w:rPr>
        <w:t xml:space="preserve">% delle famiglie che vivono in abitazioni di proprietà (circa 3,7 milioni). </w:t>
      </w:r>
      <w:r>
        <w:rPr>
          <w:rFonts w:ascii="Arial" w:hAnsi="Arial" w:cs="Arial"/>
          <w:sz w:val="22"/>
          <w:szCs w:val="22"/>
        </w:rPr>
        <w:t>Tale</w:t>
      </w:r>
      <w:r w:rsidRPr="00207FB4">
        <w:rPr>
          <w:rFonts w:ascii="Arial" w:hAnsi="Arial" w:cs="Arial"/>
          <w:sz w:val="22"/>
          <w:szCs w:val="22"/>
        </w:rPr>
        <w:t xml:space="preserve"> quota è maggiore </w:t>
      </w:r>
      <w:r>
        <w:rPr>
          <w:rFonts w:ascii="Arial" w:hAnsi="Arial" w:cs="Arial"/>
          <w:sz w:val="22"/>
          <w:szCs w:val="22"/>
        </w:rPr>
        <w:t>al Nord (26,2</w:t>
      </w:r>
      <w:r w:rsidRPr="00207FB4">
        <w:rPr>
          <w:rFonts w:ascii="Arial" w:hAnsi="Arial" w:cs="Arial"/>
          <w:sz w:val="22"/>
          <w:szCs w:val="22"/>
        </w:rPr>
        <w:t>% nel Nord-ovest e</w:t>
      </w:r>
      <w:r w:rsidRPr="00D008AF">
        <w:rPr>
          <w:rFonts w:ascii="Arial" w:hAnsi="Arial" w:cs="Arial"/>
          <w:sz w:val="22"/>
          <w:szCs w:val="22"/>
        </w:rPr>
        <w:t xml:space="preserve"> 2</w:t>
      </w:r>
      <w:r>
        <w:rPr>
          <w:rFonts w:ascii="Arial" w:hAnsi="Arial" w:cs="Arial"/>
          <w:sz w:val="22"/>
          <w:szCs w:val="22"/>
        </w:rPr>
        <w:t>2</w:t>
      </w:r>
      <w:r w:rsidRPr="00D008AF">
        <w:rPr>
          <w:rFonts w:ascii="Arial" w:hAnsi="Arial" w:cs="Arial"/>
          <w:sz w:val="22"/>
          <w:szCs w:val="22"/>
        </w:rPr>
        <w:t>,</w:t>
      </w:r>
      <w:r>
        <w:rPr>
          <w:rFonts w:ascii="Arial" w:hAnsi="Arial" w:cs="Arial"/>
          <w:sz w:val="22"/>
          <w:szCs w:val="22"/>
        </w:rPr>
        <w:t>6</w:t>
      </w:r>
      <w:r w:rsidRPr="00D008AF">
        <w:rPr>
          <w:rFonts w:ascii="Arial" w:hAnsi="Arial" w:cs="Arial"/>
          <w:sz w:val="22"/>
          <w:szCs w:val="22"/>
        </w:rPr>
        <w:t>% nel Nord-est) e nel Centro (</w:t>
      </w:r>
      <w:r>
        <w:rPr>
          <w:rFonts w:ascii="Arial" w:hAnsi="Arial" w:cs="Arial"/>
          <w:sz w:val="22"/>
          <w:szCs w:val="22"/>
        </w:rPr>
        <w:t>18</w:t>
      </w:r>
      <w:r w:rsidRPr="00D008AF">
        <w:rPr>
          <w:rFonts w:ascii="Arial" w:hAnsi="Arial" w:cs="Arial"/>
          <w:sz w:val="22"/>
          <w:szCs w:val="22"/>
        </w:rPr>
        <w:t>,</w:t>
      </w:r>
      <w:r>
        <w:rPr>
          <w:rFonts w:ascii="Arial" w:hAnsi="Arial" w:cs="Arial"/>
          <w:sz w:val="22"/>
          <w:szCs w:val="22"/>
        </w:rPr>
        <w:t>9</w:t>
      </w:r>
      <w:r w:rsidRPr="00D008AF">
        <w:rPr>
          <w:rFonts w:ascii="Arial" w:hAnsi="Arial" w:cs="Arial"/>
          <w:sz w:val="22"/>
          <w:szCs w:val="22"/>
        </w:rPr>
        <w:t>%) rispetto a Sud (1</w:t>
      </w:r>
      <w:r>
        <w:rPr>
          <w:rFonts w:ascii="Arial" w:hAnsi="Arial" w:cs="Arial"/>
          <w:sz w:val="22"/>
          <w:szCs w:val="22"/>
        </w:rPr>
        <w:t>2</w:t>
      </w:r>
      <w:r w:rsidRPr="00D008AF">
        <w:rPr>
          <w:rFonts w:ascii="Arial" w:hAnsi="Arial" w:cs="Arial"/>
          <w:sz w:val="22"/>
          <w:szCs w:val="22"/>
        </w:rPr>
        <w:t>,</w:t>
      </w:r>
      <w:r>
        <w:rPr>
          <w:rFonts w:ascii="Arial" w:hAnsi="Arial" w:cs="Arial"/>
          <w:sz w:val="22"/>
          <w:szCs w:val="22"/>
        </w:rPr>
        <w:t>0</w:t>
      </w:r>
      <w:r w:rsidRPr="00D008AF">
        <w:rPr>
          <w:rFonts w:ascii="Arial" w:hAnsi="Arial" w:cs="Arial"/>
          <w:sz w:val="22"/>
          <w:szCs w:val="22"/>
        </w:rPr>
        <w:t>%) e Isole (11,6%).</w:t>
      </w:r>
      <w:r w:rsidRPr="00745212">
        <w:rPr>
          <w:rFonts w:ascii="Arial" w:hAnsi="Arial" w:cs="Arial"/>
          <w:sz w:val="22"/>
          <w:szCs w:val="22"/>
        </w:rPr>
        <w:t xml:space="preserve"> </w:t>
      </w:r>
      <w:r w:rsidRPr="00D008AF">
        <w:rPr>
          <w:rFonts w:ascii="Arial" w:hAnsi="Arial" w:cs="Arial"/>
          <w:sz w:val="22"/>
          <w:szCs w:val="22"/>
        </w:rPr>
        <w:t>Dal punto di vista economico e contabile, questa voce di bilancio è un investimento, e non rientra quindi nel computo della spesa per consumi; ciononostante, per le famiglie che l</w:t>
      </w:r>
      <w:r w:rsidR="00037575">
        <w:rPr>
          <w:rFonts w:ascii="Arial" w:hAnsi="Arial" w:cs="Arial"/>
          <w:sz w:val="22"/>
          <w:szCs w:val="22"/>
        </w:rPr>
        <w:t>a</w:t>
      </w:r>
      <w:r w:rsidRPr="00D008AF">
        <w:rPr>
          <w:rFonts w:ascii="Arial" w:hAnsi="Arial" w:cs="Arial"/>
          <w:sz w:val="22"/>
          <w:szCs w:val="22"/>
        </w:rPr>
        <w:t xml:space="preserve"> sostengono rappresenta un esborso consistente e pari, in media, a 545 euro mensili.</w:t>
      </w:r>
    </w:p>
    <w:p w14:paraId="124AE6B1" w14:textId="70396458" w:rsidR="004C365C" w:rsidRDefault="004C365C" w:rsidP="002C7A80">
      <w:pPr>
        <w:spacing w:after="120"/>
        <w:jc w:val="both"/>
      </w:pPr>
      <w:r w:rsidRPr="004C425C">
        <w:rPr>
          <w:rFonts w:ascii="Arial" w:hAnsi="Arial" w:cs="Arial"/>
          <w:sz w:val="22"/>
          <w:szCs w:val="22"/>
        </w:rPr>
        <w:t>La spesa per consumi, comprensiva degli affitti figurativi (</w:t>
      </w:r>
      <w:r>
        <w:rPr>
          <w:rFonts w:ascii="Arial" w:hAnsi="Arial" w:cs="Arial"/>
          <w:sz w:val="22"/>
          <w:szCs w:val="22"/>
        </w:rPr>
        <w:t>cfr.</w:t>
      </w:r>
      <w:r w:rsidRPr="004C425C">
        <w:rPr>
          <w:rFonts w:ascii="Arial" w:hAnsi="Arial" w:cs="Arial"/>
          <w:sz w:val="22"/>
          <w:szCs w:val="22"/>
        </w:rPr>
        <w:t xml:space="preserve"> Glossario), è molto differenziata in base al titolo di godimento dell’abitazione: </w:t>
      </w:r>
      <w:r>
        <w:rPr>
          <w:rFonts w:ascii="Arial" w:hAnsi="Arial" w:cs="Arial"/>
          <w:sz w:val="22"/>
          <w:szCs w:val="22"/>
        </w:rPr>
        <w:t xml:space="preserve">nel 2020 </w:t>
      </w:r>
      <w:r w:rsidRPr="004C425C">
        <w:rPr>
          <w:rFonts w:ascii="Arial" w:hAnsi="Arial" w:cs="Arial"/>
          <w:sz w:val="22"/>
          <w:szCs w:val="22"/>
        </w:rPr>
        <w:t xml:space="preserve">è </w:t>
      </w:r>
      <w:r>
        <w:rPr>
          <w:rFonts w:ascii="Arial" w:hAnsi="Arial" w:cs="Arial"/>
          <w:sz w:val="22"/>
          <w:szCs w:val="22"/>
        </w:rPr>
        <w:t>di</w:t>
      </w:r>
      <w:r w:rsidRPr="004C425C">
        <w:rPr>
          <w:rFonts w:ascii="Arial" w:hAnsi="Arial" w:cs="Arial"/>
          <w:sz w:val="22"/>
          <w:szCs w:val="22"/>
        </w:rPr>
        <w:t xml:space="preserve"> 2.</w:t>
      </w:r>
      <w:r>
        <w:rPr>
          <w:rFonts w:ascii="Arial" w:hAnsi="Arial" w:cs="Arial"/>
          <w:sz w:val="22"/>
          <w:szCs w:val="22"/>
        </w:rPr>
        <w:t>515</w:t>
      </w:r>
      <w:r w:rsidRPr="004C425C">
        <w:rPr>
          <w:rFonts w:ascii="Arial" w:hAnsi="Arial" w:cs="Arial"/>
          <w:sz w:val="22"/>
          <w:szCs w:val="22"/>
        </w:rPr>
        <w:t xml:space="preserve"> euro mensili per le famiglie in abitazione di proprietà</w:t>
      </w:r>
      <w:r>
        <w:rPr>
          <w:rFonts w:ascii="Arial" w:hAnsi="Arial" w:cs="Arial"/>
          <w:sz w:val="22"/>
          <w:szCs w:val="22"/>
        </w:rPr>
        <w:t>,</w:t>
      </w:r>
      <w:r w:rsidRPr="004C425C">
        <w:rPr>
          <w:rFonts w:ascii="Arial" w:hAnsi="Arial" w:cs="Arial"/>
          <w:sz w:val="22"/>
          <w:szCs w:val="22"/>
        </w:rPr>
        <w:t xml:space="preserve"> si attesta a </w:t>
      </w:r>
      <w:r>
        <w:rPr>
          <w:rFonts w:ascii="Arial" w:hAnsi="Arial" w:cs="Arial"/>
          <w:sz w:val="22"/>
          <w:szCs w:val="22"/>
        </w:rPr>
        <w:t>1</w:t>
      </w:r>
      <w:r w:rsidRPr="004C425C">
        <w:rPr>
          <w:rFonts w:ascii="Arial" w:hAnsi="Arial" w:cs="Arial"/>
          <w:sz w:val="22"/>
          <w:szCs w:val="22"/>
        </w:rPr>
        <w:t>.</w:t>
      </w:r>
      <w:r>
        <w:rPr>
          <w:rFonts w:ascii="Arial" w:hAnsi="Arial" w:cs="Arial"/>
          <w:sz w:val="22"/>
          <w:szCs w:val="22"/>
        </w:rPr>
        <w:t>994</w:t>
      </w:r>
      <w:r w:rsidRPr="004C425C">
        <w:rPr>
          <w:rFonts w:ascii="Arial" w:hAnsi="Arial" w:cs="Arial"/>
          <w:sz w:val="22"/>
          <w:szCs w:val="22"/>
        </w:rPr>
        <w:t xml:space="preserve"> euro mensili per le famig</w:t>
      </w:r>
      <w:r>
        <w:rPr>
          <w:rFonts w:ascii="Arial" w:hAnsi="Arial" w:cs="Arial"/>
          <w:sz w:val="22"/>
          <w:szCs w:val="22"/>
        </w:rPr>
        <w:t>lie in usufrutto o uso gratuito mentre</w:t>
      </w:r>
      <w:r w:rsidRPr="004C425C">
        <w:rPr>
          <w:rFonts w:ascii="Arial" w:hAnsi="Arial" w:cs="Arial"/>
          <w:sz w:val="22"/>
          <w:szCs w:val="22"/>
        </w:rPr>
        <w:t xml:space="preserve"> per le famiglie in affitto è </w:t>
      </w:r>
      <w:r>
        <w:rPr>
          <w:rFonts w:ascii="Arial" w:hAnsi="Arial" w:cs="Arial"/>
          <w:sz w:val="22"/>
          <w:szCs w:val="22"/>
        </w:rPr>
        <w:t xml:space="preserve">pari a </w:t>
      </w:r>
      <w:r w:rsidRPr="004C425C">
        <w:rPr>
          <w:rFonts w:ascii="Arial" w:hAnsi="Arial" w:cs="Arial"/>
          <w:sz w:val="22"/>
          <w:szCs w:val="22"/>
        </w:rPr>
        <w:t>1.</w:t>
      </w:r>
      <w:r>
        <w:rPr>
          <w:rFonts w:ascii="Arial" w:hAnsi="Arial" w:cs="Arial"/>
          <w:sz w:val="22"/>
          <w:szCs w:val="22"/>
        </w:rPr>
        <w:t>753</w:t>
      </w:r>
      <w:r w:rsidRPr="004C425C">
        <w:rPr>
          <w:rFonts w:ascii="Arial" w:hAnsi="Arial" w:cs="Arial"/>
          <w:sz w:val="22"/>
          <w:szCs w:val="22"/>
        </w:rPr>
        <w:t xml:space="preserve"> euro mensili.</w:t>
      </w:r>
      <w:r>
        <w:rPr>
          <w:rFonts w:ascii="Arial" w:hAnsi="Arial" w:cs="Arial"/>
          <w:sz w:val="22"/>
          <w:szCs w:val="22"/>
        </w:rPr>
        <w:t xml:space="preserve"> </w:t>
      </w:r>
      <w:r w:rsidRPr="00A1482B">
        <w:rPr>
          <w:rFonts w:ascii="Arial" w:hAnsi="Arial" w:cs="Arial"/>
          <w:sz w:val="22"/>
          <w:szCs w:val="22"/>
        </w:rPr>
        <w:t xml:space="preserve">Al netto degli affitti figurativi, la spesa per consumi </w:t>
      </w:r>
      <w:r w:rsidR="00781053">
        <w:rPr>
          <w:rFonts w:ascii="Arial" w:hAnsi="Arial" w:cs="Arial"/>
          <w:sz w:val="22"/>
          <w:szCs w:val="22"/>
        </w:rPr>
        <w:t>delle</w:t>
      </w:r>
      <w:r w:rsidRPr="00A1482B">
        <w:rPr>
          <w:rFonts w:ascii="Arial" w:hAnsi="Arial" w:cs="Arial"/>
          <w:sz w:val="22"/>
          <w:szCs w:val="22"/>
        </w:rPr>
        <w:t xml:space="preserve"> famiglie proprietarie scende a </w:t>
      </w:r>
      <w:r>
        <w:rPr>
          <w:rFonts w:ascii="Arial" w:hAnsi="Arial" w:cs="Arial"/>
          <w:sz w:val="22"/>
          <w:szCs w:val="22"/>
        </w:rPr>
        <w:t>1</w:t>
      </w:r>
      <w:r w:rsidRPr="00A1482B">
        <w:rPr>
          <w:rFonts w:ascii="Arial" w:hAnsi="Arial" w:cs="Arial"/>
          <w:sz w:val="22"/>
          <w:szCs w:val="22"/>
        </w:rPr>
        <w:t>.</w:t>
      </w:r>
      <w:r>
        <w:rPr>
          <w:rFonts w:ascii="Arial" w:hAnsi="Arial" w:cs="Arial"/>
          <w:sz w:val="22"/>
          <w:szCs w:val="22"/>
        </w:rPr>
        <w:t>786 euro</w:t>
      </w:r>
      <w:r w:rsidR="00781053">
        <w:rPr>
          <w:rFonts w:ascii="Arial" w:hAnsi="Arial" w:cs="Arial"/>
          <w:sz w:val="22"/>
          <w:szCs w:val="22"/>
        </w:rPr>
        <w:t>,</w:t>
      </w:r>
      <w:r>
        <w:rPr>
          <w:rFonts w:ascii="Arial" w:hAnsi="Arial" w:cs="Arial"/>
          <w:sz w:val="22"/>
          <w:szCs w:val="22"/>
        </w:rPr>
        <w:t xml:space="preserve"> quella delle famiglie </w:t>
      </w:r>
      <w:r w:rsidRPr="00A1482B">
        <w:rPr>
          <w:rFonts w:ascii="Arial" w:hAnsi="Arial" w:cs="Arial"/>
          <w:sz w:val="22"/>
          <w:szCs w:val="22"/>
        </w:rPr>
        <w:t>in usufrutto o uso gratuito a 1.</w:t>
      </w:r>
      <w:r>
        <w:rPr>
          <w:rFonts w:ascii="Arial" w:hAnsi="Arial" w:cs="Arial"/>
          <w:sz w:val="22"/>
          <w:szCs w:val="22"/>
        </w:rPr>
        <w:t>434 euro mensili.</w:t>
      </w:r>
    </w:p>
    <w:p w14:paraId="4E1336CD" w14:textId="77777777" w:rsidR="00E54B3D" w:rsidRPr="00822FB1" w:rsidRDefault="00E54B3D" w:rsidP="00866873">
      <w:pPr>
        <w:spacing w:before="80" w:after="120"/>
        <w:jc w:val="both"/>
        <w:rPr>
          <w:rFonts w:ascii="Arial" w:hAnsi="Arial" w:cs="Arial"/>
          <w:bCs/>
          <w:color w:val="1F497D" w:themeColor="text2"/>
          <w:sz w:val="22"/>
          <w:szCs w:val="22"/>
        </w:rPr>
      </w:pPr>
    </w:p>
    <w:p w14:paraId="47764D43" w14:textId="13A89B2F" w:rsidR="00866873" w:rsidRDefault="00B35DDF" w:rsidP="00866873">
      <w:pPr>
        <w:spacing w:before="80" w:after="120"/>
        <w:jc w:val="both"/>
        <w:rPr>
          <w:rFonts w:ascii="Arial" w:hAnsi="Arial" w:cs="Arial"/>
          <w:sz w:val="22"/>
          <w:szCs w:val="22"/>
        </w:rPr>
      </w:pPr>
      <w:r>
        <w:rPr>
          <w:rFonts w:ascii="Arial" w:hAnsi="Arial" w:cs="Arial"/>
          <w:b/>
          <w:color w:val="1F497D" w:themeColor="text2"/>
          <w:sz w:val="26"/>
          <w:szCs w:val="26"/>
        </w:rPr>
        <w:t xml:space="preserve">La spesa si riduce </w:t>
      </w:r>
      <w:r w:rsidR="00B90E96">
        <w:rPr>
          <w:rFonts w:ascii="Arial" w:hAnsi="Arial" w:cs="Arial"/>
          <w:b/>
          <w:color w:val="1F497D" w:themeColor="text2"/>
          <w:sz w:val="26"/>
          <w:szCs w:val="26"/>
        </w:rPr>
        <w:t xml:space="preserve">soprattutto </w:t>
      </w:r>
      <w:r>
        <w:rPr>
          <w:rFonts w:ascii="Arial" w:hAnsi="Arial" w:cs="Arial"/>
          <w:b/>
          <w:color w:val="1F497D" w:themeColor="text2"/>
          <w:sz w:val="26"/>
          <w:szCs w:val="26"/>
        </w:rPr>
        <w:t>per le famiglie più abbienti</w:t>
      </w:r>
    </w:p>
    <w:p w14:paraId="299BCD15" w14:textId="7D26EEB7" w:rsidR="00350AEC" w:rsidRDefault="00866873" w:rsidP="00B91567">
      <w:pPr>
        <w:spacing w:after="120"/>
        <w:jc w:val="both"/>
        <w:rPr>
          <w:rFonts w:ascii="Arial" w:hAnsi="Arial" w:cs="Arial"/>
          <w:sz w:val="22"/>
          <w:szCs w:val="22"/>
        </w:rPr>
      </w:pPr>
      <w:r w:rsidRPr="00691393">
        <w:rPr>
          <w:rFonts w:ascii="Arial" w:hAnsi="Arial" w:cs="Arial"/>
          <w:sz w:val="22"/>
          <w:szCs w:val="22"/>
        </w:rPr>
        <w:t xml:space="preserve">Un confronto in termini distributivi </w:t>
      </w:r>
      <w:r w:rsidR="00645076">
        <w:rPr>
          <w:rFonts w:ascii="Arial" w:hAnsi="Arial" w:cs="Arial"/>
          <w:sz w:val="22"/>
          <w:szCs w:val="22"/>
        </w:rPr>
        <w:t>si può operare</w:t>
      </w:r>
      <w:r w:rsidRPr="00691393">
        <w:rPr>
          <w:rFonts w:ascii="Arial" w:hAnsi="Arial" w:cs="Arial"/>
          <w:sz w:val="22"/>
          <w:szCs w:val="22"/>
        </w:rPr>
        <w:t xml:space="preserve"> utilizzando la spesa familiare equivalente, che tiene conto del fatto che nuclei familiari di numerosità differente hanno anche differenti livelli e bisogni di spesa. La spesa familiare è resa equivalente mediante opportuni coefficienti (scala di equivalenza, cfr. Glossario) che permettono confronti fra i livelli di spesa di famiglie di diversa ampiezza. </w:t>
      </w:r>
    </w:p>
    <w:p w14:paraId="7C45D72B" w14:textId="07A8FF0C" w:rsidR="00ED2392" w:rsidRDefault="00ED2392" w:rsidP="00B91567">
      <w:pPr>
        <w:spacing w:after="120"/>
        <w:jc w:val="both"/>
        <w:rPr>
          <w:rFonts w:ascii="Arial" w:hAnsi="Arial" w:cs="Arial"/>
          <w:sz w:val="22"/>
          <w:szCs w:val="22"/>
        </w:rPr>
      </w:pPr>
      <w:r w:rsidRPr="00ED2392">
        <w:rPr>
          <w:rFonts w:ascii="Arial" w:hAnsi="Arial" w:cs="Arial"/>
          <w:sz w:val="22"/>
          <w:szCs w:val="22"/>
        </w:rPr>
        <w:t>Se si ordinano le famiglie in base alla spesa equivalente, è possibile dividerle in cinque</w:t>
      </w:r>
      <w:r>
        <w:rPr>
          <w:rFonts w:ascii="Arial" w:hAnsi="Arial" w:cs="Arial"/>
          <w:sz w:val="22"/>
          <w:szCs w:val="22"/>
        </w:rPr>
        <w:t xml:space="preserve"> </w:t>
      </w:r>
      <w:r w:rsidRPr="00ED2392">
        <w:rPr>
          <w:rFonts w:ascii="Arial" w:hAnsi="Arial" w:cs="Arial"/>
          <w:sz w:val="22"/>
          <w:szCs w:val="22"/>
        </w:rPr>
        <w:t>gruppi di uguale numerosità (quinti): il primo comprende il 20% delle famiglie con la spesa</w:t>
      </w:r>
      <w:r>
        <w:rPr>
          <w:rFonts w:ascii="Arial" w:hAnsi="Arial" w:cs="Arial"/>
          <w:sz w:val="22"/>
          <w:szCs w:val="22"/>
        </w:rPr>
        <w:t xml:space="preserve"> </w:t>
      </w:r>
      <w:r w:rsidRPr="00ED2392">
        <w:rPr>
          <w:rFonts w:ascii="Arial" w:hAnsi="Arial" w:cs="Arial"/>
          <w:sz w:val="22"/>
          <w:szCs w:val="22"/>
        </w:rPr>
        <w:t>più bassa (famiglie meno abbienti), l’ultimo quinto il 20% di famiglie con la spesa</w:t>
      </w:r>
      <w:r>
        <w:rPr>
          <w:rFonts w:ascii="Arial" w:hAnsi="Arial" w:cs="Arial"/>
          <w:sz w:val="22"/>
          <w:szCs w:val="22"/>
        </w:rPr>
        <w:t xml:space="preserve"> </w:t>
      </w:r>
      <w:r w:rsidRPr="00ED2392">
        <w:rPr>
          <w:rFonts w:ascii="Arial" w:hAnsi="Arial" w:cs="Arial"/>
          <w:sz w:val="22"/>
          <w:szCs w:val="22"/>
        </w:rPr>
        <w:t>più e</w:t>
      </w:r>
      <w:r>
        <w:rPr>
          <w:rFonts w:ascii="Arial" w:hAnsi="Arial" w:cs="Arial"/>
          <w:sz w:val="22"/>
          <w:szCs w:val="22"/>
        </w:rPr>
        <w:t>levata (famiglie più abbienti).</w:t>
      </w:r>
    </w:p>
    <w:p w14:paraId="1201FD3F" w14:textId="7BE8A3C1" w:rsidR="00B90E96" w:rsidRDefault="00ED2392" w:rsidP="00B91567">
      <w:pPr>
        <w:spacing w:after="120"/>
        <w:jc w:val="both"/>
        <w:rPr>
          <w:rFonts w:ascii="Arial" w:hAnsi="Arial" w:cs="Arial"/>
          <w:sz w:val="22"/>
        </w:rPr>
      </w:pPr>
      <w:r>
        <w:rPr>
          <w:rFonts w:ascii="Arial" w:hAnsi="Arial" w:cs="Arial"/>
          <w:sz w:val="22"/>
        </w:rPr>
        <w:t>T</w:t>
      </w:r>
      <w:r w:rsidR="00866873" w:rsidRPr="00866873">
        <w:rPr>
          <w:rFonts w:ascii="Arial" w:hAnsi="Arial" w:cs="Arial"/>
          <w:sz w:val="22"/>
        </w:rPr>
        <w:t xml:space="preserve">ra il 2019 e il 2020, </w:t>
      </w:r>
      <w:r>
        <w:rPr>
          <w:rFonts w:ascii="Arial" w:hAnsi="Arial" w:cs="Arial"/>
          <w:sz w:val="22"/>
        </w:rPr>
        <w:t>la dinamica della</w:t>
      </w:r>
      <w:r w:rsidR="00866873" w:rsidRPr="00866873">
        <w:rPr>
          <w:rFonts w:ascii="Arial" w:hAnsi="Arial" w:cs="Arial"/>
          <w:sz w:val="22"/>
        </w:rPr>
        <w:t xml:space="preserve"> spesa delle famiglie</w:t>
      </w:r>
      <w:r>
        <w:rPr>
          <w:rFonts w:ascii="Arial" w:hAnsi="Arial" w:cs="Arial"/>
          <w:sz w:val="22"/>
        </w:rPr>
        <w:t xml:space="preserve"> dei due quinti estremi (primo e ultimo)</w:t>
      </w:r>
      <w:r w:rsidR="00866873" w:rsidRPr="00866873">
        <w:rPr>
          <w:rFonts w:ascii="Arial" w:hAnsi="Arial" w:cs="Arial"/>
          <w:sz w:val="22"/>
        </w:rPr>
        <w:t xml:space="preserve"> </w:t>
      </w:r>
      <w:r>
        <w:rPr>
          <w:rFonts w:ascii="Arial" w:hAnsi="Arial" w:cs="Arial"/>
          <w:sz w:val="22"/>
        </w:rPr>
        <w:t xml:space="preserve">è </w:t>
      </w:r>
      <w:r w:rsidR="00037575">
        <w:rPr>
          <w:rFonts w:ascii="Arial" w:hAnsi="Arial" w:cs="Arial"/>
          <w:sz w:val="22"/>
        </w:rPr>
        <w:t xml:space="preserve">piuttosto </w:t>
      </w:r>
      <w:r>
        <w:rPr>
          <w:rFonts w:ascii="Arial" w:hAnsi="Arial" w:cs="Arial"/>
          <w:sz w:val="22"/>
        </w:rPr>
        <w:t>diversificata</w:t>
      </w:r>
      <w:r w:rsidR="00866873" w:rsidRPr="00866873">
        <w:rPr>
          <w:rFonts w:ascii="Arial" w:hAnsi="Arial" w:cs="Arial"/>
          <w:sz w:val="22"/>
        </w:rPr>
        <w:t xml:space="preserve">. Se, infatti, la spesa totale diminuisce per entrambi i gruppi di famiglie, la contrazione </w:t>
      </w:r>
      <w:r w:rsidR="005B3807">
        <w:rPr>
          <w:rFonts w:ascii="Arial" w:hAnsi="Arial" w:cs="Arial"/>
          <w:sz w:val="22"/>
        </w:rPr>
        <w:t>per quelle</w:t>
      </w:r>
      <w:r w:rsidR="00866873" w:rsidRPr="00866873">
        <w:rPr>
          <w:rFonts w:ascii="Arial" w:hAnsi="Arial" w:cs="Arial"/>
          <w:sz w:val="22"/>
        </w:rPr>
        <w:t xml:space="preserve"> più abbienti</w:t>
      </w:r>
      <w:r w:rsidR="00037575">
        <w:rPr>
          <w:rFonts w:ascii="Arial" w:hAnsi="Arial" w:cs="Arial"/>
          <w:sz w:val="22"/>
        </w:rPr>
        <w:t xml:space="preserve"> </w:t>
      </w:r>
      <w:r w:rsidR="00037575" w:rsidRPr="00866873">
        <w:rPr>
          <w:rFonts w:ascii="Arial" w:hAnsi="Arial" w:cs="Arial"/>
          <w:sz w:val="22"/>
        </w:rPr>
        <w:t>è del 9,0%,</w:t>
      </w:r>
      <w:r w:rsidR="00866873" w:rsidRPr="00866873">
        <w:rPr>
          <w:rFonts w:ascii="Arial" w:hAnsi="Arial" w:cs="Arial"/>
          <w:sz w:val="22"/>
        </w:rPr>
        <w:t xml:space="preserve"> </w:t>
      </w:r>
      <w:r w:rsidR="00037575">
        <w:rPr>
          <w:rFonts w:ascii="Arial" w:hAnsi="Arial" w:cs="Arial"/>
          <w:sz w:val="22"/>
        </w:rPr>
        <w:t>poi</w:t>
      </w:r>
      <w:r w:rsidR="00037575" w:rsidRPr="00866873">
        <w:rPr>
          <w:rFonts w:ascii="Arial" w:hAnsi="Arial" w:cs="Arial"/>
          <w:sz w:val="22"/>
        </w:rPr>
        <w:t>ch</w:t>
      </w:r>
      <w:r w:rsidR="00037575">
        <w:rPr>
          <w:rFonts w:ascii="Arial" w:hAnsi="Arial" w:cs="Arial"/>
          <w:sz w:val="22"/>
        </w:rPr>
        <w:t>é</w:t>
      </w:r>
      <w:r w:rsidR="00037575" w:rsidRPr="00866873">
        <w:rPr>
          <w:rFonts w:ascii="Arial" w:hAnsi="Arial" w:cs="Arial"/>
          <w:sz w:val="22"/>
        </w:rPr>
        <w:t xml:space="preserve"> </w:t>
      </w:r>
      <w:r w:rsidR="00866873" w:rsidRPr="00866873">
        <w:rPr>
          <w:rFonts w:ascii="Arial" w:hAnsi="Arial" w:cs="Arial"/>
          <w:sz w:val="22"/>
        </w:rPr>
        <w:t>tradizionalmente destinano quote più ampie del loro budget mensile ai settori più colpiti dalle restrizioni</w:t>
      </w:r>
      <w:r w:rsidR="003E320E">
        <w:rPr>
          <w:rFonts w:ascii="Arial" w:hAnsi="Arial" w:cs="Arial"/>
          <w:sz w:val="22"/>
        </w:rPr>
        <w:t xml:space="preserve"> introdotte per contrastare la pandemia</w:t>
      </w:r>
      <w:r w:rsidR="00616A40">
        <w:rPr>
          <w:rFonts w:ascii="Arial" w:hAnsi="Arial" w:cs="Arial"/>
          <w:sz w:val="22"/>
        </w:rPr>
        <w:t>.</w:t>
      </w:r>
      <w:r w:rsidR="00866873" w:rsidRPr="00866873">
        <w:rPr>
          <w:rFonts w:ascii="Arial" w:hAnsi="Arial" w:cs="Arial"/>
          <w:sz w:val="22"/>
        </w:rPr>
        <w:t xml:space="preserve"> </w:t>
      </w:r>
      <w:r w:rsidR="00037575">
        <w:rPr>
          <w:rFonts w:ascii="Arial" w:hAnsi="Arial" w:cs="Arial"/>
          <w:sz w:val="22"/>
        </w:rPr>
        <w:t>P</w:t>
      </w:r>
      <w:r w:rsidR="00866873" w:rsidRPr="00866873">
        <w:rPr>
          <w:rFonts w:ascii="Arial" w:hAnsi="Arial" w:cs="Arial"/>
          <w:sz w:val="22"/>
        </w:rPr>
        <w:t xml:space="preserve">er le famiglie del primo quinto, con forti vincoli di bilancio già prima della pandemia, il calo è del 2,7%. </w:t>
      </w:r>
      <w:r w:rsidR="005B3807">
        <w:rPr>
          <w:rFonts w:ascii="Arial" w:hAnsi="Arial" w:cs="Arial"/>
          <w:sz w:val="22"/>
        </w:rPr>
        <w:t>I</w:t>
      </w:r>
      <w:r w:rsidR="00866873" w:rsidRPr="00866873">
        <w:rPr>
          <w:rFonts w:ascii="Arial" w:hAnsi="Arial" w:cs="Arial"/>
          <w:sz w:val="22"/>
        </w:rPr>
        <w:t xml:space="preserve">nfatti, la spesa non alimentare scende del 10,2% tra le </w:t>
      </w:r>
      <w:r w:rsidR="003E320E">
        <w:rPr>
          <w:rFonts w:ascii="Arial" w:hAnsi="Arial" w:cs="Arial"/>
          <w:sz w:val="22"/>
        </w:rPr>
        <w:t xml:space="preserve">più abbienti </w:t>
      </w:r>
      <w:r w:rsidR="00866873" w:rsidRPr="00866873">
        <w:rPr>
          <w:rFonts w:ascii="Arial" w:hAnsi="Arial" w:cs="Arial"/>
          <w:sz w:val="22"/>
        </w:rPr>
        <w:t xml:space="preserve">e del 5,2% tra </w:t>
      </w:r>
      <w:r w:rsidR="003E320E">
        <w:rPr>
          <w:rFonts w:ascii="Arial" w:hAnsi="Arial" w:cs="Arial"/>
          <w:sz w:val="22"/>
        </w:rPr>
        <w:t>quelle con minore capacità di spesa</w:t>
      </w:r>
      <w:r w:rsidR="00866873" w:rsidRPr="00866873">
        <w:rPr>
          <w:rFonts w:ascii="Arial" w:hAnsi="Arial" w:cs="Arial"/>
          <w:sz w:val="22"/>
        </w:rPr>
        <w:t>.</w:t>
      </w:r>
    </w:p>
    <w:p w14:paraId="164100D8" w14:textId="300A4D17" w:rsidR="005B3807" w:rsidRDefault="00673934" w:rsidP="00B91567">
      <w:pPr>
        <w:spacing w:after="120"/>
        <w:jc w:val="both"/>
        <w:rPr>
          <w:rFonts w:ascii="Arial" w:hAnsi="Arial" w:cs="Arial"/>
          <w:sz w:val="22"/>
        </w:rPr>
      </w:pPr>
      <w:r w:rsidRPr="00866873">
        <w:rPr>
          <w:rFonts w:ascii="Arial" w:hAnsi="Arial" w:cs="Arial"/>
          <w:sz w:val="22"/>
        </w:rPr>
        <w:t xml:space="preserve">In particolare, </w:t>
      </w:r>
      <w:r w:rsidR="003E320E">
        <w:rPr>
          <w:rFonts w:ascii="Arial" w:hAnsi="Arial" w:cs="Arial"/>
          <w:sz w:val="22"/>
        </w:rPr>
        <w:t>queste ultime</w:t>
      </w:r>
      <w:r w:rsidRPr="00866873">
        <w:rPr>
          <w:rFonts w:ascii="Arial" w:hAnsi="Arial" w:cs="Arial"/>
          <w:sz w:val="22"/>
        </w:rPr>
        <w:t xml:space="preserve"> vedono aumentare significativamente, nel 2020, la spesa per Prodotti alimentari e bevande analcoliche (+4,9%, con una quota che passa dal 24,7</w:t>
      </w:r>
      <w:r w:rsidR="00AD50AD">
        <w:rPr>
          <w:rFonts w:ascii="Arial" w:hAnsi="Arial" w:cs="Arial"/>
          <w:sz w:val="22"/>
        </w:rPr>
        <w:t>%</w:t>
      </w:r>
      <w:r w:rsidRPr="00866873">
        <w:rPr>
          <w:rFonts w:ascii="Arial" w:hAnsi="Arial" w:cs="Arial"/>
          <w:sz w:val="22"/>
        </w:rPr>
        <w:t xml:space="preserve"> al 26,6%) e quella per Abitazione, acqua, elettricità e altri combustibili, manutenzione ordinaria e straordinaria (+2,7%, con un peso sulla spesa totale che cresce dal 42,4</w:t>
      </w:r>
      <w:r w:rsidR="00AD50AD">
        <w:rPr>
          <w:rFonts w:ascii="Arial" w:hAnsi="Arial" w:cs="Arial"/>
          <w:sz w:val="22"/>
        </w:rPr>
        <w:t>%</w:t>
      </w:r>
      <w:r w:rsidRPr="00866873">
        <w:rPr>
          <w:rFonts w:ascii="Arial" w:hAnsi="Arial" w:cs="Arial"/>
          <w:sz w:val="22"/>
        </w:rPr>
        <w:t xml:space="preserve"> al 44,8%)</w:t>
      </w:r>
      <w:r w:rsidR="003E320E">
        <w:rPr>
          <w:rFonts w:ascii="Arial" w:hAnsi="Arial" w:cs="Arial"/>
          <w:sz w:val="22"/>
        </w:rPr>
        <w:t>. N</w:t>
      </w:r>
      <w:r w:rsidRPr="00866873">
        <w:rPr>
          <w:rFonts w:ascii="Arial" w:hAnsi="Arial" w:cs="Arial"/>
          <w:sz w:val="22"/>
        </w:rPr>
        <w:t xml:space="preserve">el caso delle famiglie più abbienti, invece, </w:t>
      </w:r>
      <w:r w:rsidR="003E320E">
        <w:rPr>
          <w:rFonts w:ascii="Arial" w:hAnsi="Arial" w:cs="Arial"/>
          <w:sz w:val="22"/>
        </w:rPr>
        <w:t>cresce</w:t>
      </w:r>
      <w:r w:rsidRPr="00866873">
        <w:rPr>
          <w:rFonts w:ascii="Arial" w:hAnsi="Arial" w:cs="Arial"/>
          <w:sz w:val="22"/>
        </w:rPr>
        <w:t xml:space="preserve"> la quota </w:t>
      </w:r>
      <w:r w:rsidR="003E320E">
        <w:rPr>
          <w:rFonts w:ascii="Arial" w:hAnsi="Arial" w:cs="Arial"/>
          <w:sz w:val="22"/>
        </w:rPr>
        <w:t xml:space="preserve">di </w:t>
      </w:r>
      <w:r w:rsidR="003E320E" w:rsidRPr="00866873">
        <w:rPr>
          <w:rFonts w:ascii="Arial" w:hAnsi="Arial" w:cs="Arial"/>
          <w:sz w:val="22"/>
        </w:rPr>
        <w:t>spesa</w:t>
      </w:r>
      <w:r w:rsidR="003E320E">
        <w:rPr>
          <w:rFonts w:ascii="Arial" w:hAnsi="Arial" w:cs="Arial"/>
          <w:sz w:val="22"/>
        </w:rPr>
        <w:t xml:space="preserve"> </w:t>
      </w:r>
      <w:r w:rsidR="003E320E" w:rsidRPr="00866873">
        <w:rPr>
          <w:rFonts w:ascii="Arial" w:hAnsi="Arial" w:cs="Arial"/>
          <w:sz w:val="22"/>
        </w:rPr>
        <w:t>destinata a questi due capitoli</w:t>
      </w:r>
      <w:r w:rsidR="003E320E">
        <w:rPr>
          <w:rFonts w:ascii="Arial" w:hAnsi="Arial" w:cs="Arial"/>
          <w:sz w:val="22"/>
        </w:rPr>
        <w:t xml:space="preserve"> ma non il suo valore</w:t>
      </w:r>
      <w:r w:rsidRPr="00866873">
        <w:rPr>
          <w:rFonts w:ascii="Arial" w:hAnsi="Arial" w:cs="Arial"/>
          <w:sz w:val="22"/>
        </w:rPr>
        <w:t>.</w:t>
      </w:r>
    </w:p>
    <w:p w14:paraId="17C9E412" w14:textId="21A24D71" w:rsidR="00920357" w:rsidRDefault="005B3807" w:rsidP="00961424">
      <w:pPr>
        <w:spacing w:after="120"/>
        <w:jc w:val="both"/>
        <w:rPr>
          <w:rFonts w:ascii="Arial" w:hAnsi="Arial" w:cs="Arial"/>
          <w:sz w:val="22"/>
        </w:rPr>
      </w:pPr>
      <w:r>
        <w:rPr>
          <w:rFonts w:ascii="Arial" w:hAnsi="Arial" w:cs="Arial"/>
          <w:sz w:val="22"/>
        </w:rPr>
        <w:t xml:space="preserve">In questo quadro è </w:t>
      </w:r>
      <w:r w:rsidR="003E320E">
        <w:rPr>
          <w:rFonts w:ascii="Arial" w:hAnsi="Arial" w:cs="Arial"/>
          <w:sz w:val="22"/>
        </w:rPr>
        <w:t>interessante notare il</w:t>
      </w:r>
      <w:r>
        <w:rPr>
          <w:rFonts w:ascii="Arial" w:hAnsi="Arial" w:cs="Arial"/>
          <w:sz w:val="22"/>
        </w:rPr>
        <w:t xml:space="preserve"> netto calo dell</w:t>
      </w:r>
      <w:r w:rsidR="00673934" w:rsidRPr="00866873">
        <w:rPr>
          <w:rFonts w:ascii="Arial" w:hAnsi="Arial" w:cs="Arial"/>
          <w:sz w:val="22"/>
        </w:rPr>
        <w:t>a spesa destinata a Servizi ricettivi e di ristorazione</w:t>
      </w:r>
      <w:r>
        <w:rPr>
          <w:rFonts w:ascii="Arial" w:hAnsi="Arial" w:cs="Arial"/>
          <w:sz w:val="22"/>
        </w:rPr>
        <w:t xml:space="preserve"> per</w:t>
      </w:r>
      <w:r w:rsidR="00673934" w:rsidRPr="00866873">
        <w:rPr>
          <w:rFonts w:ascii="Arial" w:hAnsi="Arial" w:cs="Arial"/>
          <w:sz w:val="22"/>
        </w:rPr>
        <w:t xml:space="preserve"> entrambi i </w:t>
      </w:r>
      <w:r w:rsidR="00934597">
        <w:rPr>
          <w:rFonts w:ascii="Arial" w:hAnsi="Arial" w:cs="Arial"/>
          <w:sz w:val="22"/>
        </w:rPr>
        <w:t>g</w:t>
      </w:r>
      <w:r w:rsidR="00673934" w:rsidRPr="00866873">
        <w:rPr>
          <w:rFonts w:ascii="Arial" w:hAnsi="Arial" w:cs="Arial"/>
          <w:sz w:val="22"/>
        </w:rPr>
        <w:t>ruppi di famiglie,</w:t>
      </w:r>
      <w:r>
        <w:rPr>
          <w:rFonts w:ascii="Arial" w:hAnsi="Arial" w:cs="Arial"/>
          <w:sz w:val="22"/>
        </w:rPr>
        <w:t xml:space="preserve"> ma </w:t>
      </w:r>
      <w:r w:rsidR="00037575">
        <w:rPr>
          <w:rFonts w:ascii="Arial" w:hAnsi="Arial" w:cs="Arial"/>
          <w:sz w:val="22"/>
        </w:rPr>
        <w:t>la</w:t>
      </w:r>
      <w:r>
        <w:rPr>
          <w:rFonts w:ascii="Arial" w:hAnsi="Arial" w:cs="Arial"/>
          <w:sz w:val="22"/>
        </w:rPr>
        <w:t xml:space="preserve"> contrazione</w:t>
      </w:r>
      <w:r w:rsidR="00037575">
        <w:rPr>
          <w:rFonts w:ascii="Arial" w:hAnsi="Arial" w:cs="Arial"/>
          <w:sz w:val="22"/>
        </w:rPr>
        <w:t xml:space="preserve"> è</w:t>
      </w:r>
      <w:r>
        <w:rPr>
          <w:rFonts w:ascii="Arial" w:hAnsi="Arial" w:cs="Arial"/>
          <w:sz w:val="22"/>
        </w:rPr>
        <w:t xml:space="preserve"> più ampia per il</w:t>
      </w:r>
      <w:r w:rsidRPr="00866873">
        <w:rPr>
          <w:rFonts w:ascii="Arial" w:hAnsi="Arial" w:cs="Arial"/>
          <w:sz w:val="22"/>
        </w:rPr>
        <w:t xml:space="preserve"> </w:t>
      </w:r>
      <w:r w:rsidR="00673934" w:rsidRPr="00866873">
        <w:rPr>
          <w:rFonts w:ascii="Arial" w:hAnsi="Arial" w:cs="Arial"/>
          <w:sz w:val="22"/>
        </w:rPr>
        <w:t>primo (-43,1%) rispetto all’ultimo</w:t>
      </w:r>
      <w:r w:rsidR="00934597">
        <w:rPr>
          <w:rFonts w:ascii="Arial" w:hAnsi="Arial" w:cs="Arial"/>
          <w:sz w:val="22"/>
        </w:rPr>
        <w:t xml:space="preserve"> quinto</w:t>
      </w:r>
      <w:r w:rsidR="00673934" w:rsidRPr="00866873">
        <w:rPr>
          <w:rFonts w:ascii="Arial" w:hAnsi="Arial" w:cs="Arial"/>
          <w:sz w:val="22"/>
        </w:rPr>
        <w:t xml:space="preserve"> (-36,8%)</w:t>
      </w:r>
      <w:r w:rsidR="009B16F7">
        <w:rPr>
          <w:rFonts w:ascii="Arial" w:hAnsi="Arial" w:cs="Arial"/>
          <w:sz w:val="22"/>
        </w:rPr>
        <w:t xml:space="preserve">. </w:t>
      </w:r>
    </w:p>
    <w:p w14:paraId="6A81BF44" w14:textId="77777777" w:rsidR="00961424" w:rsidRPr="008A1BB9" w:rsidRDefault="00961424" w:rsidP="00961424">
      <w:pPr>
        <w:spacing w:after="120"/>
        <w:jc w:val="both"/>
        <w:rPr>
          <w:rFonts w:ascii="Arial" w:hAnsi="Arial" w:cs="Arial"/>
          <w:sz w:val="28"/>
          <w:szCs w:val="32"/>
        </w:rPr>
      </w:pPr>
    </w:p>
    <w:p w14:paraId="633ADEC4" w14:textId="587B607D" w:rsidR="00F262B0" w:rsidRPr="00DF7F31" w:rsidRDefault="00672170" w:rsidP="00616A40">
      <w:pPr>
        <w:spacing w:after="120"/>
        <w:jc w:val="both"/>
        <w:rPr>
          <w:rFonts w:ascii="Arial Narrow" w:hAnsi="Arial Narrow"/>
          <w:iCs/>
          <w:noProof/>
          <w:color w:val="1F497D" w:themeColor="text2"/>
          <w:sz w:val="22"/>
          <w:szCs w:val="22"/>
        </w:rPr>
      </w:pPr>
      <w:r w:rsidRPr="00DF7F31">
        <w:rPr>
          <w:rFonts w:ascii="Arial Black" w:hAnsi="Arial Black"/>
          <w:iCs/>
          <w:noProof/>
          <w:color w:val="1F497D" w:themeColor="text2"/>
          <w:sz w:val="22"/>
          <w:szCs w:val="22"/>
        </w:rPr>
        <w:t xml:space="preserve">FIGURA </w:t>
      </w:r>
      <w:r w:rsidR="00C81835" w:rsidRPr="00DF7F31">
        <w:rPr>
          <w:rFonts w:ascii="Arial Black" w:hAnsi="Arial Black"/>
          <w:iCs/>
          <w:noProof/>
          <w:color w:val="1F497D" w:themeColor="text2"/>
          <w:sz w:val="22"/>
          <w:szCs w:val="22"/>
        </w:rPr>
        <w:t>6</w:t>
      </w:r>
      <w:r w:rsidRPr="00DF7F31">
        <w:rPr>
          <w:rFonts w:ascii="Arial Black" w:hAnsi="Arial Black"/>
          <w:iCs/>
          <w:noProof/>
          <w:color w:val="1F497D" w:themeColor="text2"/>
          <w:sz w:val="22"/>
          <w:szCs w:val="22"/>
        </w:rPr>
        <w:t xml:space="preserve">. </w:t>
      </w:r>
      <w:r w:rsidR="00B468C3" w:rsidRPr="00DF7F31">
        <w:rPr>
          <w:rFonts w:ascii="Arial Narrow" w:hAnsi="Arial Narrow"/>
          <w:b/>
          <w:iCs/>
          <w:noProof/>
          <w:color w:val="1F497D" w:themeColor="text2"/>
          <w:sz w:val="22"/>
          <w:szCs w:val="22"/>
        </w:rPr>
        <w:t>FAMIGLIE AFFITTUARIE DELL’ABITAZIONE IN CUI VIVONO E SPESA MEDIA PER AFFITTO</w:t>
      </w:r>
      <w:r w:rsidR="00FB408A" w:rsidRPr="00DF7F31">
        <w:rPr>
          <w:rFonts w:ascii="Arial Narrow" w:hAnsi="Arial Narrow"/>
          <w:b/>
          <w:iCs/>
          <w:noProof/>
          <w:color w:val="1F497D" w:themeColor="text2"/>
          <w:sz w:val="22"/>
          <w:szCs w:val="22"/>
        </w:rPr>
        <w:t xml:space="preserve">. </w:t>
      </w:r>
      <w:r w:rsidR="00B468C3" w:rsidRPr="00DF7F31">
        <w:rPr>
          <w:rFonts w:ascii="Arial Narrow" w:hAnsi="Arial Narrow"/>
          <w:b/>
          <w:iCs/>
          <w:noProof/>
          <w:color w:val="1F497D" w:themeColor="text2"/>
          <w:sz w:val="22"/>
          <w:szCs w:val="22"/>
        </w:rPr>
        <w:t xml:space="preserve">FAMIGLIE PROPRIETARIE CHE PAGANO IL MUTUO E RATA MEDIA </w:t>
      </w:r>
      <w:r w:rsidR="00FB408A" w:rsidRPr="00DF7F31">
        <w:rPr>
          <w:rFonts w:ascii="Arial Narrow" w:hAnsi="Arial Narrow"/>
          <w:b/>
          <w:iCs/>
          <w:noProof/>
          <w:color w:val="1F497D" w:themeColor="text2"/>
          <w:sz w:val="22"/>
          <w:szCs w:val="22"/>
        </w:rPr>
        <w:t xml:space="preserve">DEL </w:t>
      </w:r>
      <w:r w:rsidR="00B468C3" w:rsidRPr="00DF7F31">
        <w:rPr>
          <w:rFonts w:ascii="Arial Narrow" w:hAnsi="Arial Narrow"/>
          <w:b/>
          <w:iCs/>
          <w:noProof/>
          <w:color w:val="1F497D" w:themeColor="text2"/>
          <w:sz w:val="22"/>
          <w:szCs w:val="22"/>
        </w:rPr>
        <w:t>MUTUO PER TIPO DI COMUNE DI RESIDENZA</w:t>
      </w:r>
      <w:r w:rsidRPr="00DF7F31">
        <w:rPr>
          <w:rFonts w:ascii="Arial Narrow" w:hAnsi="Arial Narrow"/>
          <w:iCs/>
          <w:noProof/>
          <w:color w:val="1F497D" w:themeColor="text2"/>
          <w:sz w:val="22"/>
          <w:szCs w:val="22"/>
        </w:rPr>
        <w:t>.</w:t>
      </w:r>
      <w:r w:rsidR="00CC0DA7" w:rsidRPr="00DF7F31">
        <w:rPr>
          <w:rFonts w:ascii="Arial Narrow" w:hAnsi="Arial Narrow"/>
          <w:iCs/>
          <w:noProof/>
          <w:color w:val="1F497D" w:themeColor="text2"/>
          <w:sz w:val="22"/>
          <w:szCs w:val="22"/>
        </w:rPr>
        <w:t xml:space="preserve"> </w:t>
      </w:r>
      <w:r w:rsidRPr="00DF7F31">
        <w:rPr>
          <w:rFonts w:ascii="Arial Narrow" w:hAnsi="Arial Narrow"/>
          <w:iCs/>
          <w:noProof/>
          <w:color w:val="1F497D" w:themeColor="text2"/>
          <w:sz w:val="22"/>
          <w:szCs w:val="22"/>
        </w:rPr>
        <w:t xml:space="preserve">Anno </w:t>
      </w:r>
      <w:r w:rsidR="00C70D65" w:rsidRPr="00DF7F31">
        <w:rPr>
          <w:rFonts w:ascii="Arial Narrow" w:hAnsi="Arial Narrow"/>
          <w:iCs/>
          <w:noProof/>
          <w:color w:val="1F497D" w:themeColor="text2"/>
          <w:sz w:val="22"/>
          <w:szCs w:val="22"/>
        </w:rPr>
        <w:t>2020</w:t>
      </w:r>
      <w:r w:rsidRPr="00DF7F31">
        <w:rPr>
          <w:rFonts w:ascii="Arial Narrow" w:hAnsi="Arial Narrow"/>
          <w:iCs/>
          <w:noProof/>
          <w:color w:val="1F497D" w:themeColor="text2"/>
          <w:sz w:val="22"/>
          <w:szCs w:val="22"/>
        </w:rPr>
        <w:t xml:space="preserve">, valori percentuali </w:t>
      </w:r>
      <w:r w:rsidR="00CA0F54" w:rsidRPr="00DF7F31">
        <w:rPr>
          <w:rFonts w:ascii="Arial Narrow" w:hAnsi="Arial Narrow"/>
          <w:iCs/>
          <w:noProof/>
          <w:color w:val="1F497D" w:themeColor="text2"/>
          <w:sz w:val="22"/>
          <w:szCs w:val="22"/>
        </w:rPr>
        <w:t>e valori in euro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55"/>
        <w:gridCol w:w="4967"/>
      </w:tblGrid>
      <w:tr w:rsidR="00C578C3" w14:paraId="70782357" w14:textId="77777777" w:rsidTr="00616A40">
        <w:tc>
          <w:tcPr>
            <w:tcW w:w="4950" w:type="dxa"/>
          </w:tcPr>
          <w:p w14:paraId="4D199300" w14:textId="267AD98F" w:rsidR="00C578C3" w:rsidRDefault="00C578C3" w:rsidP="00C578C3">
            <w:pPr>
              <w:jc w:val="both"/>
              <w:rPr>
                <w:rFonts w:ascii="Arial Narrow" w:hAnsi="Arial Narrow"/>
                <w:iCs/>
                <w:noProof/>
                <w:color w:val="1F497D" w:themeColor="text2"/>
                <w:sz w:val="22"/>
                <w:szCs w:val="22"/>
              </w:rPr>
            </w:pPr>
            <w:r>
              <w:rPr>
                <w:noProof/>
              </w:rPr>
              <w:drawing>
                <wp:inline distT="0" distB="0" distL="0" distR="0" wp14:anchorId="51F9131F" wp14:editId="278A35AF">
                  <wp:extent cx="3060000" cy="2160000"/>
                  <wp:effectExtent l="0" t="0" r="0" b="0"/>
                  <wp:docPr id="34" name="Grafico 3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62" w:type="dxa"/>
          </w:tcPr>
          <w:p w14:paraId="69294CE7" w14:textId="3E72250A" w:rsidR="00C578C3" w:rsidRDefault="00C578C3" w:rsidP="00C578C3">
            <w:pPr>
              <w:jc w:val="both"/>
              <w:rPr>
                <w:rFonts w:ascii="Arial Narrow" w:hAnsi="Arial Narrow"/>
                <w:iCs/>
                <w:noProof/>
                <w:color w:val="1F497D" w:themeColor="text2"/>
                <w:sz w:val="22"/>
                <w:szCs w:val="22"/>
              </w:rPr>
            </w:pPr>
            <w:r>
              <w:rPr>
                <w:noProof/>
              </w:rPr>
              <w:drawing>
                <wp:inline distT="0" distB="0" distL="0" distR="0" wp14:anchorId="3C03D350" wp14:editId="7C3A3E88">
                  <wp:extent cx="3060000" cy="2242706"/>
                  <wp:effectExtent l="0" t="0" r="7620" b="0"/>
                  <wp:docPr id="36" name="Grafico 3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2CE09FC" w14:textId="6C76C799" w:rsidR="00AC5D71" w:rsidRDefault="000A1B1D">
      <w:pPr>
        <w:spacing w:after="120"/>
        <w:jc w:val="both"/>
        <w:rPr>
          <w:rFonts w:ascii="Arial" w:hAnsi="Arial" w:cs="Arial"/>
          <w:sz w:val="22"/>
        </w:rPr>
      </w:pPr>
      <w:r>
        <w:rPr>
          <w:rFonts w:ascii="Arial" w:hAnsi="Arial" w:cs="Arial"/>
          <w:b/>
          <w:color w:val="1F497D" w:themeColor="text2"/>
          <w:sz w:val="26"/>
          <w:szCs w:val="26"/>
        </w:rPr>
        <w:br w:type="page"/>
      </w:r>
    </w:p>
    <w:p w14:paraId="6878611B" w14:textId="5B10AED4" w:rsidR="005032AB" w:rsidRDefault="005032AB" w:rsidP="000C7CFE">
      <w:pPr>
        <w:spacing w:after="120"/>
        <w:rPr>
          <w:rFonts w:ascii="Arial" w:hAnsi="Arial" w:cs="Arial"/>
          <w:sz w:val="22"/>
        </w:rPr>
      </w:pPr>
    </w:p>
    <w:p w14:paraId="328213AC" w14:textId="0D3B0674" w:rsidR="004B5025" w:rsidRDefault="0062578E" w:rsidP="00E0666A">
      <w:pPr>
        <w:spacing w:after="120"/>
        <w:jc w:val="both"/>
        <w:rPr>
          <w:rFonts w:ascii="Arial" w:hAnsi="Arial" w:cs="Arial"/>
          <w:sz w:val="22"/>
        </w:rPr>
      </w:pPr>
      <w:r>
        <w:rPr>
          <w:rFonts w:ascii="Arial" w:hAnsi="Arial" w:cs="Arial"/>
          <w:sz w:val="22"/>
        </w:rPr>
        <w:t>Con riferimento specifico ai servizi di ristorazione, r</w:t>
      </w:r>
      <w:r w:rsidRPr="009B16F7">
        <w:rPr>
          <w:rFonts w:ascii="Arial" w:hAnsi="Arial" w:cs="Arial"/>
          <w:sz w:val="22"/>
        </w:rPr>
        <w:t xml:space="preserve">ispetto al 2019, </w:t>
      </w:r>
      <w:r w:rsidR="00046E39" w:rsidRPr="009B16F7">
        <w:rPr>
          <w:rFonts w:ascii="Arial" w:hAnsi="Arial" w:cs="Arial"/>
          <w:sz w:val="22"/>
        </w:rPr>
        <w:t>la percentuale di famiglie</w:t>
      </w:r>
      <w:r w:rsidR="00046E39">
        <w:rPr>
          <w:rFonts w:ascii="Arial" w:hAnsi="Arial" w:cs="Arial"/>
          <w:sz w:val="22"/>
        </w:rPr>
        <w:t xml:space="preserve"> che </w:t>
      </w:r>
      <w:r w:rsidR="00037575">
        <w:rPr>
          <w:rFonts w:ascii="Arial" w:hAnsi="Arial" w:cs="Arial"/>
          <w:sz w:val="22"/>
        </w:rPr>
        <w:t xml:space="preserve">sostengono </w:t>
      </w:r>
      <w:r w:rsidR="00046E39">
        <w:rPr>
          <w:rFonts w:ascii="Arial" w:hAnsi="Arial" w:cs="Arial"/>
          <w:sz w:val="22"/>
        </w:rPr>
        <w:t xml:space="preserve">queste spese, già considerevolmente più alta tra i più abbienti, scende relativamente meno in questo gruppo rispetto </w:t>
      </w:r>
      <w:r w:rsidR="00037575">
        <w:rPr>
          <w:rFonts w:ascii="Arial" w:hAnsi="Arial" w:cs="Arial"/>
          <w:sz w:val="22"/>
        </w:rPr>
        <w:t>alle famiglie con minore capacità di spesa</w:t>
      </w:r>
      <w:r w:rsidR="00046E39">
        <w:rPr>
          <w:rFonts w:ascii="Arial" w:hAnsi="Arial" w:cs="Arial"/>
          <w:sz w:val="22"/>
        </w:rPr>
        <w:t xml:space="preserve">. </w:t>
      </w:r>
    </w:p>
    <w:p w14:paraId="1ED894A8" w14:textId="7626AD6B" w:rsidR="004B5025" w:rsidRDefault="00046E39" w:rsidP="00E0666A">
      <w:pPr>
        <w:spacing w:after="120"/>
        <w:jc w:val="both"/>
        <w:rPr>
          <w:rFonts w:ascii="Arial" w:hAnsi="Arial" w:cs="Arial"/>
          <w:sz w:val="22"/>
        </w:rPr>
      </w:pPr>
      <w:r>
        <w:rPr>
          <w:rFonts w:ascii="Arial" w:hAnsi="Arial" w:cs="Arial"/>
          <w:sz w:val="22"/>
        </w:rPr>
        <w:t>I</w:t>
      </w:r>
      <w:r w:rsidRPr="009B16F7">
        <w:rPr>
          <w:rFonts w:ascii="Arial" w:hAnsi="Arial" w:cs="Arial"/>
          <w:sz w:val="22"/>
        </w:rPr>
        <w:t>nfatti</w:t>
      </w:r>
      <w:r w:rsidR="0062578E" w:rsidRPr="009B16F7">
        <w:rPr>
          <w:rFonts w:ascii="Arial" w:hAnsi="Arial" w:cs="Arial"/>
          <w:sz w:val="22"/>
        </w:rPr>
        <w:t xml:space="preserve">, la percentuale di famiglie che </w:t>
      </w:r>
      <w:r w:rsidR="00037575" w:rsidRPr="009B16F7">
        <w:rPr>
          <w:rFonts w:ascii="Arial" w:hAnsi="Arial" w:cs="Arial"/>
          <w:sz w:val="22"/>
        </w:rPr>
        <w:t>sost</w:t>
      </w:r>
      <w:r w:rsidR="00037575">
        <w:rPr>
          <w:rFonts w:ascii="Arial" w:hAnsi="Arial" w:cs="Arial"/>
          <w:sz w:val="22"/>
        </w:rPr>
        <w:t>engono</w:t>
      </w:r>
      <w:r w:rsidR="00037575" w:rsidRPr="009B16F7">
        <w:rPr>
          <w:rFonts w:ascii="Arial" w:hAnsi="Arial" w:cs="Arial"/>
          <w:sz w:val="22"/>
        </w:rPr>
        <w:t xml:space="preserve"> </w:t>
      </w:r>
      <w:r w:rsidR="0062578E" w:rsidRPr="009B16F7">
        <w:rPr>
          <w:rFonts w:ascii="Arial" w:hAnsi="Arial" w:cs="Arial"/>
          <w:sz w:val="22"/>
        </w:rPr>
        <w:t>la spesa per ristoranti, trattorie e osterie con servizio al tavolo passa dal</w:t>
      </w:r>
      <w:r w:rsidR="00523F78">
        <w:rPr>
          <w:rFonts w:ascii="Arial" w:hAnsi="Arial" w:cs="Arial"/>
          <w:sz w:val="22"/>
        </w:rPr>
        <w:t xml:space="preserve"> 6,4</w:t>
      </w:r>
      <w:r w:rsidR="0062578E" w:rsidRPr="009B16F7">
        <w:rPr>
          <w:rFonts w:ascii="Arial" w:hAnsi="Arial" w:cs="Arial"/>
          <w:sz w:val="22"/>
        </w:rPr>
        <w:t xml:space="preserve">% al </w:t>
      </w:r>
      <w:r w:rsidR="00523F78">
        <w:rPr>
          <w:rFonts w:ascii="Arial" w:hAnsi="Arial" w:cs="Arial"/>
          <w:sz w:val="22"/>
        </w:rPr>
        <w:t>2</w:t>
      </w:r>
      <w:r w:rsidR="0062578E" w:rsidRPr="009B16F7">
        <w:rPr>
          <w:rFonts w:ascii="Arial" w:hAnsi="Arial" w:cs="Arial"/>
          <w:sz w:val="22"/>
        </w:rPr>
        <w:t>,5% nel primo quinto e dal</w:t>
      </w:r>
      <w:r w:rsidR="00523F78">
        <w:rPr>
          <w:rFonts w:ascii="Arial" w:hAnsi="Arial" w:cs="Arial"/>
          <w:sz w:val="22"/>
        </w:rPr>
        <w:t xml:space="preserve"> 58,8</w:t>
      </w:r>
      <w:r w:rsidR="0062578E" w:rsidRPr="009B16F7">
        <w:rPr>
          <w:rFonts w:ascii="Arial" w:hAnsi="Arial" w:cs="Arial"/>
          <w:sz w:val="22"/>
        </w:rPr>
        <w:t xml:space="preserve">% al </w:t>
      </w:r>
      <w:r w:rsidR="00523F78">
        <w:rPr>
          <w:rFonts w:ascii="Arial" w:hAnsi="Arial" w:cs="Arial"/>
          <w:sz w:val="22"/>
        </w:rPr>
        <w:t>35,6</w:t>
      </w:r>
      <w:r w:rsidR="0062578E" w:rsidRPr="009B16F7">
        <w:rPr>
          <w:rFonts w:ascii="Arial" w:hAnsi="Arial" w:cs="Arial"/>
          <w:sz w:val="22"/>
        </w:rPr>
        <w:t xml:space="preserve">% nell’ultimo; nel caso della spesa per bar, pasticcerie, gelaterie, chioschi e ambulanti, le percentuali passano, rispettivamente, dal </w:t>
      </w:r>
      <w:r w:rsidR="00523F78">
        <w:rPr>
          <w:rFonts w:ascii="Arial" w:hAnsi="Arial" w:cs="Arial"/>
          <w:sz w:val="22"/>
        </w:rPr>
        <w:t>28,8</w:t>
      </w:r>
      <w:r w:rsidR="0062578E" w:rsidRPr="009B16F7">
        <w:rPr>
          <w:rFonts w:ascii="Arial" w:hAnsi="Arial" w:cs="Arial"/>
          <w:sz w:val="22"/>
        </w:rPr>
        <w:t xml:space="preserve">% al </w:t>
      </w:r>
      <w:r w:rsidR="00523F78">
        <w:rPr>
          <w:rFonts w:ascii="Arial" w:hAnsi="Arial" w:cs="Arial"/>
          <w:sz w:val="22"/>
        </w:rPr>
        <w:t>17,4</w:t>
      </w:r>
      <w:r w:rsidR="0062578E" w:rsidRPr="009B16F7">
        <w:rPr>
          <w:rFonts w:ascii="Arial" w:hAnsi="Arial" w:cs="Arial"/>
          <w:sz w:val="22"/>
        </w:rPr>
        <w:t xml:space="preserve">% nel primo e dal </w:t>
      </w:r>
      <w:r w:rsidR="00523F78">
        <w:rPr>
          <w:rFonts w:ascii="Arial" w:hAnsi="Arial" w:cs="Arial"/>
          <w:sz w:val="22"/>
        </w:rPr>
        <w:t>78,0</w:t>
      </w:r>
      <w:r w:rsidR="0062578E" w:rsidRPr="009B16F7">
        <w:rPr>
          <w:rFonts w:ascii="Arial" w:hAnsi="Arial" w:cs="Arial"/>
          <w:sz w:val="22"/>
        </w:rPr>
        <w:t xml:space="preserve">% al </w:t>
      </w:r>
      <w:r w:rsidR="00523F78">
        <w:rPr>
          <w:rFonts w:ascii="Arial" w:hAnsi="Arial" w:cs="Arial"/>
          <w:sz w:val="22"/>
        </w:rPr>
        <w:t>58,5</w:t>
      </w:r>
      <w:r w:rsidR="0062578E" w:rsidRPr="009B16F7">
        <w:rPr>
          <w:rFonts w:ascii="Arial" w:hAnsi="Arial" w:cs="Arial"/>
          <w:sz w:val="22"/>
        </w:rPr>
        <w:t xml:space="preserve">% nell’ultimo quinto; infine, la percentuale di famiglie che </w:t>
      </w:r>
      <w:r w:rsidR="00037575">
        <w:rPr>
          <w:rFonts w:ascii="Arial" w:hAnsi="Arial" w:cs="Arial"/>
          <w:sz w:val="22"/>
        </w:rPr>
        <w:t>spendono</w:t>
      </w:r>
      <w:r w:rsidR="0062578E" w:rsidRPr="009B16F7">
        <w:rPr>
          <w:rFonts w:ascii="Arial" w:hAnsi="Arial" w:cs="Arial"/>
          <w:sz w:val="22"/>
        </w:rPr>
        <w:t xml:space="preserve"> per self-service, tavole calde, fast-food, rosticcerie e pizzerie al taglio senza servizio al tavolo scende dal </w:t>
      </w:r>
      <w:r w:rsidR="00523F78">
        <w:rPr>
          <w:rFonts w:ascii="Arial" w:hAnsi="Arial" w:cs="Arial"/>
          <w:sz w:val="22"/>
        </w:rPr>
        <w:t>16,5</w:t>
      </w:r>
      <w:r w:rsidR="0062578E" w:rsidRPr="009B16F7">
        <w:rPr>
          <w:rFonts w:ascii="Arial" w:hAnsi="Arial" w:cs="Arial"/>
          <w:sz w:val="22"/>
        </w:rPr>
        <w:t>% al</w:t>
      </w:r>
      <w:r w:rsidR="00523F78">
        <w:rPr>
          <w:rFonts w:ascii="Arial" w:hAnsi="Arial" w:cs="Arial"/>
          <w:sz w:val="22"/>
        </w:rPr>
        <w:t>l’11</w:t>
      </w:r>
      <w:r w:rsidR="0062578E" w:rsidRPr="009B16F7">
        <w:rPr>
          <w:rFonts w:ascii="Arial" w:hAnsi="Arial" w:cs="Arial"/>
          <w:sz w:val="22"/>
        </w:rPr>
        <w:t xml:space="preserve">,3% nel primo quinto e dal </w:t>
      </w:r>
      <w:r w:rsidR="00523F78">
        <w:rPr>
          <w:rFonts w:ascii="Arial" w:hAnsi="Arial" w:cs="Arial"/>
          <w:sz w:val="22"/>
        </w:rPr>
        <w:t>53,6</w:t>
      </w:r>
      <w:r w:rsidR="0062578E" w:rsidRPr="009B16F7">
        <w:rPr>
          <w:rFonts w:ascii="Arial" w:hAnsi="Arial" w:cs="Arial"/>
          <w:sz w:val="22"/>
        </w:rPr>
        <w:t>% al</w:t>
      </w:r>
      <w:r w:rsidR="00523F78">
        <w:rPr>
          <w:rFonts w:ascii="Arial" w:hAnsi="Arial" w:cs="Arial"/>
          <w:sz w:val="22"/>
        </w:rPr>
        <w:t xml:space="preserve"> 41,4</w:t>
      </w:r>
      <w:r w:rsidR="0062578E" w:rsidRPr="009B16F7">
        <w:rPr>
          <w:rFonts w:ascii="Arial" w:hAnsi="Arial" w:cs="Arial"/>
          <w:sz w:val="22"/>
        </w:rPr>
        <w:t>% nell’ultimo.</w:t>
      </w:r>
    </w:p>
    <w:p w14:paraId="1477587E" w14:textId="3571CE88" w:rsidR="00920357" w:rsidRPr="00E0666A" w:rsidRDefault="00920357" w:rsidP="00E0666A">
      <w:pPr>
        <w:spacing w:after="120"/>
        <w:jc w:val="both"/>
        <w:rPr>
          <w:rFonts w:ascii="Arial" w:hAnsi="Arial" w:cs="Arial"/>
          <w:sz w:val="22"/>
        </w:rPr>
      </w:pPr>
      <w:proofErr w:type="gramStart"/>
      <w:r w:rsidRPr="0058523E">
        <w:rPr>
          <w:rFonts w:ascii="Arial" w:hAnsi="Arial" w:cs="Arial"/>
          <w:sz w:val="22"/>
        </w:rPr>
        <w:t>Infine</w:t>
      </w:r>
      <w:proofErr w:type="gramEnd"/>
      <w:r w:rsidRPr="0058523E">
        <w:rPr>
          <w:rFonts w:ascii="Arial" w:hAnsi="Arial" w:cs="Arial"/>
          <w:sz w:val="22"/>
        </w:rPr>
        <w:t xml:space="preserve"> la spesa </w:t>
      </w:r>
      <w:r w:rsidR="00AE0E43">
        <w:rPr>
          <w:rFonts w:ascii="Arial" w:hAnsi="Arial" w:cs="Arial"/>
          <w:sz w:val="22"/>
        </w:rPr>
        <w:t xml:space="preserve">media mensile </w:t>
      </w:r>
      <w:r w:rsidRPr="0058523E">
        <w:rPr>
          <w:rFonts w:ascii="Arial" w:hAnsi="Arial" w:cs="Arial"/>
          <w:sz w:val="22"/>
        </w:rPr>
        <w:t xml:space="preserve">per Ricreazione, spettacoli e cultura registra un calo del 24,3% fra le famiglie dell’ultimo quinto e del 13,0% fra quelle del primo. La frenata più contenuta di tale spesa tra le famiglie meno abbienti </w:t>
      </w:r>
      <w:r w:rsidR="00AE0E43">
        <w:rPr>
          <w:rFonts w:ascii="Arial" w:hAnsi="Arial" w:cs="Arial"/>
          <w:sz w:val="22"/>
        </w:rPr>
        <w:t>si può in parte ascrivere</w:t>
      </w:r>
      <w:r w:rsidRPr="0058523E">
        <w:rPr>
          <w:rFonts w:ascii="Arial" w:hAnsi="Arial" w:cs="Arial"/>
          <w:sz w:val="22"/>
        </w:rPr>
        <w:t xml:space="preserve">, nell’anno della didattica a distanza e dello smart working, </w:t>
      </w:r>
      <w:r w:rsidR="00AA25F4" w:rsidRPr="0058523E">
        <w:rPr>
          <w:rFonts w:ascii="Arial" w:hAnsi="Arial" w:cs="Arial"/>
          <w:sz w:val="22"/>
        </w:rPr>
        <w:t>all</w:t>
      </w:r>
      <w:r w:rsidR="00AA25F4">
        <w:rPr>
          <w:rFonts w:ascii="Arial" w:hAnsi="Arial" w:cs="Arial"/>
          <w:sz w:val="22"/>
        </w:rPr>
        <w:t>a</w:t>
      </w:r>
      <w:r w:rsidR="00AA25F4" w:rsidRPr="0058523E">
        <w:rPr>
          <w:rFonts w:ascii="Arial" w:hAnsi="Arial" w:cs="Arial"/>
          <w:sz w:val="22"/>
        </w:rPr>
        <w:t xml:space="preserve"> spes</w:t>
      </w:r>
      <w:r w:rsidR="00AA25F4">
        <w:rPr>
          <w:rFonts w:ascii="Arial" w:hAnsi="Arial" w:cs="Arial"/>
          <w:sz w:val="22"/>
        </w:rPr>
        <w:t>a</w:t>
      </w:r>
      <w:r w:rsidR="00AA25F4" w:rsidRPr="0058523E">
        <w:rPr>
          <w:rFonts w:ascii="Arial" w:hAnsi="Arial" w:cs="Arial"/>
          <w:sz w:val="22"/>
        </w:rPr>
        <w:t xml:space="preserve"> </w:t>
      </w:r>
      <w:r w:rsidR="00FA4A5B">
        <w:rPr>
          <w:rFonts w:ascii="Arial" w:hAnsi="Arial" w:cs="Arial"/>
          <w:sz w:val="22"/>
        </w:rPr>
        <w:t xml:space="preserve">per alcuni prodotti appartenenti a questo comparto merceologico e cioè quella per </w:t>
      </w:r>
      <w:r w:rsidRPr="0058523E">
        <w:rPr>
          <w:rFonts w:ascii="Arial" w:hAnsi="Arial" w:cs="Arial"/>
          <w:sz w:val="22"/>
        </w:rPr>
        <w:t>pc, tablet e accessori per pc</w:t>
      </w:r>
      <w:r w:rsidR="00621A24">
        <w:rPr>
          <w:rFonts w:ascii="Arial" w:hAnsi="Arial" w:cs="Arial"/>
          <w:sz w:val="22"/>
        </w:rPr>
        <w:t xml:space="preserve"> (cresciuta per il</w:t>
      </w:r>
      <w:r w:rsidR="00621A24" w:rsidRPr="00AA25F4">
        <w:rPr>
          <w:rFonts w:ascii="Arial" w:hAnsi="Arial" w:cs="Arial"/>
          <w:sz w:val="22"/>
        </w:rPr>
        <w:t xml:space="preserve"> totale delle famiglie del 33,6% sull’anno precedente)</w:t>
      </w:r>
      <w:r w:rsidR="00AA25F4" w:rsidRPr="00AA25F4">
        <w:rPr>
          <w:rFonts w:ascii="Arial" w:hAnsi="Arial" w:cs="Arial"/>
          <w:sz w:val="22"/>
        </w:rPr>
        <w:t>.</w:t>
      </w:r>
      <w:r w:rsidR="00AA25F4" w:rsidRPr="0058523E">
        <w:rPr>
          <w:rFonts w:ascii="Arial" w:hAnsi="Arial" w:cs="Arial"/>
          <w:sz w:val="22"/>
        </w:rPr>
        <w:t xml:space="preserve"> </w:t>
      </w:r>
      <w:r w:rsidRPr="00E0666A">
        <w:rPr>
          <w:rFonts w:ascii="Arial" w:hAnsi="Arial" w:cs="Arial"/>
          <w:sz w:val="22"/>
        </w:rPr>
        <w:t xml:space="preserve">Nel 2020, infatti, </w:t>
      </w:r>
      <w:r w:rsidR="00621A24">
        <w:rPr>
          <w:rFonts w:ascii="Arial" w:hAnsi="Arial" w:cs="Arial"/>
          <w:sz w:val="22"/>
        </w:rPr>
        <w:t xml:space="preserve">la </w:t>
      </w:r>
      <w:r w:rsidR="000B4CF6">
        <w:rPr>
          <w:rFonts w:ascii="Arial" w:hAnsi="Arial" w:cs="Arial"/>
          <w:sz w:val="22"/>
        </w:rPr>
        <w:t>percentuale</w:t>
      </w:r>
      <w:r w:rsidR="00621A24">
        <w:rPr>
          <w:rFonts w:ascii="Arial" w:hAnsi="Arial" w:cs="Arial"/>
          <w:sz w:val="22"/>
        </w:rPr>
        <w:t xml:space="preserve"> </w:t>
      </w:r>
      <w:r w:rsidR="00AE0E43" w:rsidRPr="00E0666A">
        <w:rPr>
          <w:rFonts w:ascii="Arial" w:hAnsi="Arial" w:cs="Arial"/>
          <w:sz w:val="22"/>
        </w:rPr>
        <w:t>di</w:t>
      </w:r>
      <w:r w:rsidRPr="00E0666A">
        <w:rPr>
          <w:rFonts w:ascii="Arial" w:hAnsi="Arial" w:cs="Arial"/>
          <w:sz w:val="22"/>
        </w:rPr>
        <w:t xml:space="preserve"> famiglie che sost</w:t>
      </w:r>
      <w:r w:rsidR="00037575" w:rsidRPr="00E0666A">
        <w:rPr>
          <w:rFonts w:ascii="Arial" w:hAnsi="Arial" w:cs="Arial"/>
          <w:sz w:val="22"/>
        </w:rPr>
        <w:t>engono</w:t>
      </w:r>
      <w:r w:rsidRPr="00E0666A">
        <w:rPr>
          <w:rFonts w:ascii="Arial" w:hAnsi="Arial" w:cs="Arial"/>
          <w:sz w:val="22"/>
        </w:rPr>
        <w:t xml:space="preserve"> tal</w:t>
      </w:r>
      <w:r w:rsidR="00AA25F4" w:rsidRPr="00E0666A">
        <w:rPr>
          <w:rFonts w:ascii="Arial" w:hAnsi="Arial" w:cs="Arial"/>
          <w:sz w:val="22"/>
        </w:rPr>
        <w:t>e</w:t>
      </w:r>
      <w:r w:rsidRPr="00E0666A">
        <w:rPr>
          <w:rFonts w:ascii="Arial" w:hAnsi="Arial" w:cs="Arial"/>
          <w:sz w:val="22"/>
        </w:rPr>
        <w:t xml:space="preserve"> </w:t>
      </w:r>
      <w:r w:rsidR="00AA25F4" w:rsidRPr="00E0666A">
        <w:rPr>
          <w:rFonts w:ascii="Arial" w:hAnsi="Arial" w:cs="Arial"/>
          <w:sz w:val="22"/>
        </w:rPr>
        <w:t xml:space="preserve">spesa </w:t>
      </w:r>
      <w:r w:rsidR="00AC0558">
        <w:rPr>
          <w:rFonts w:ascii="Arial" w:hAnsi="Arial" w:cs="Arial"/>
          <w:sz w:val="22"/>
        </w:rPr>
        <w:t xml:space="preserve">aumenta </w:t>
      </w:r>
      <w:r w:rsidR="000B4CF6">
        <w:rPr>
          <w:rFonts w:ascii="Arial" w:hAnsi="Arial" w:cs="Arial"/>
          <w:sz w:val="22"/>
        </w:rPr>
        <w:t xml:space="preserve">molto di più </w:t>
      </w:r>
      <w:r w:rsidRPr="00E0666A">
        <w:rPr>
          <w:rFonts w:ascii="Arial" w:hAnsi="Arial" w:cs="Arial"/>
          <w:sz w:val="22"/>
        </w:rPr>
        <w:t xml:space="preserve">nel primo quinto </w:t>
      </w:r>
      <w:r w:rsidR="000B4CF6">
        <w:rPr>
          <w:rFonts w:ascii="Arial" w:hAnsi="Arial" w:cs="Arial"/>
          <w:sz w:val="22"/>
        </w:rPr>
        <w:t>rispetto a</w:t>
      </w:r>
      <w:r w:rsidRPr="00E0666A">
        <w:rPr>
          <w:rFonts w:ascii="Arial" w:hAnsi="Arial" w:cs="Arial"/>
          <w:sz w:val="22"/>
        </w:rPr>
        <w:t>ll’ultimo, confermando</w:t>
      </w:r>
      <w:r w:rsidR="000B4CF6">
        <w:rPr>
          <w:rFonts w:ascii="Arial" w:hAnsi="Arial" w:cs="Arial"/>
          <w:sz w:val="22"/>
        </w:rPr>
        <w:t>,</w:t>
      </w:r>
      <w:r w:rsidRPr="00E0666A">
        <w:rPr>
          <w:rFonts w:ascii="Arial" w:hAnsi="Arial" w:cs="Arial"/>
          <w:sz w:val="22"/>
        </w:rPr>
        <w:t xml:space="preserve"> sul fronte dei consumi</w:t>
      </w:r>
      <w:r w:rsidR="000B4CF6">
        <w:rPr>
          <w:rFonts w:ascii="Arial" w:hAnsi="Arial" w:cs="Arial"/>
          <w:sz w:val="22"/>
        </w:rPr>
        <w:t>,</w:t>
      </w:r>
      <w:r w:rsidRPr="00E0666A">
        <w:rPr>
          <w:rFonts w:ascii="Arial" w:hAnsi="Arial" w:cs="Arial"/>
          <w:sz w:val="22"/>
        </w:rPr>
        <w:t xml:space="preserve"> come sia stato necessario colmare, almeno in parte, il </w:t>
      </w:r>
      <w:proofErr w:type="gramStart"/>
      <w:r w:rsidRPr="00E0666A">
        <w:rPr>
          <w:rFonts w:ascii="Arial" w:hAnsi="Arial" w:cs="Arial"/>
          <w:sz w:val="22"/>
        </w:rPr>
        <w:t>gap</w:t>
      </w:r>
      <w:proofErr w:type="gramEnd"/>
      <w:r w:rsidRPr="00E0666A">
        <w:rPr>
          <w:rFonts w:ascii="Arial" w:hAnsi="Arial" w:cs="Arial"/>
          <w:sz w:val="22"/>
        </w:rPr>
        <w:t xml:space="preserve"> tecnologico che già prima del Covid</w:t>
      </w:r>
      <w:r w:rsidR="004B54E3" w:rsidRPr="00E0666A">
        <w:rPr>
          <w:rFonts w:ascii="Arial" w:hAnsi="Arial" w:cs="Arial"/>
          <w:sz w:val="22"/>
        </w:rPr>
        <w:t>-19</w:t>
      </w:r>
      <w:r w:rsidRPr="00E0666A">
        <w:rPr>
          <w:rFonts w:ascii="Arial" w:hAnsi="Arial" w:cs="Arial"/>
          <w:sz w:val="22"/>
        </w:rPr>
        <w:t xml:space="preserve"> separava </w:t>
      </w:r>
      <w:r w:rsidR="000B4CF6">
        <w:rPr>
          <w:rFonts w:ascii="Arial" w:hAnsi="Arial" w:cs="Arial"/>
          <w:sz w:val="22"/>
        </w:rPr>
        <w:t>le</w:t>
      </w:r>
      <w:r w:rsidRPr="00E0666A">
        <w:rPr>
          <w:rFonts w:ascii="Arial" w:hAnsi="Arial" w:cs="Arial"/>
          <w:sz w:val="22"/>
        </w:rPr>
        <w:t xml:space="preserve"> famiglie </w:t>
      </w:r>
      <w:r w:rsidR="000B4CF6">
        <w:rPr>
          <w:rFonts w:ascii="Arial" w:hAnsi="Arial" w:cs="Arial"/>
          <w:sz w:val="22"/>
        </w:rPr>
        <w:t>meno abbienti dalle altre</w:t>
      </w:r>
      <w:r w:rsidRPr="00E0666A">
        <w:rPr>
          <w:rFonts w:ascii="Arial" w:hAnsi="Arial" w:cs="Arial"/>
          <w:sz w:val="22"/>
        </w:rPr>
        <w:t>.</w:t>
      </w:r>
    </w:p>
    <w:p w14:paraId="1BCC6111" w14:textId="77777777" w:rsidR="004B5025" w:rsidRPr="00E0666A" w:rsidRDefault="004B5025" w:rsidP="00E0666A">
      <w:pPr>
        <w:spacing w:after="120"/>
        <w:rPr>
          <w:rFonts w:ascii="Arial" w:hAnsi="Arial" w:cs="Arial"/>
          <w:sz w:val="22"/>
        </w:rPr>
      </w:pPr>
    </w:p>
    <w:p w14:paraId="29B88804" w14:textId="041877CC" w:rsidR="003616E2" w:rsidRPr="007A51C0" w:rsidRDefault="003616E2" w:rsidP="003616E2">
      <w:pPr>
        <w:pStyle w:val="Default"/>
        <w:spacing w:after="120"/>
        <w:jc w:val="both"/>
        <w:rPr>
          <w:rFonts w:ascii="Arial" w:hAnsi="Arial" w:cs="Arial"/>
          <w:b/>
          <w:color w:val="1F497D" w:themeColor="text2"/>
          <w:sz w:val="26"/>
          <w:szCs w:val="26"/>
        </w:rPr>
      </w:pPr>
      <w:r w:rsidRPr="00EE325C">
        <w:rPr>
          <w:rFonts w:ascii="Arial" w:hAnsi="Arial" w:cs="Arial"/>
          <w:b/>
          <w:color w:val="1F497D" w:themeColor="text2"/>
          <w:sz w:val="26"/>
          <w:szCs w:val="26"/>
        </w:rPr>
        <w:t xml:space="preserve">In </w:t>
      </w:r>
      <w:r w:rsidR="00F417E4">
        <w:rPr>
          <w:rFonts w:ascii="Arial" w:hAnsi="Arial" w:cs="Arial"/>
          <w:b/>
          <w:color w:val="1F497D" w:themeColor="text2"/>
          <w:sz w:val="26"/>
          <w:szCs w:val="26"/>
        </w:rPr>
        <w:t xml:space="preserve">lieve </w:t>
      </w:r>
      <w:r w:rsidRPr="00EE325C">
        <w:rPr>
          <w:rFonts w:ascii="Arial" w:hAnsi="Arial" w:cs="Arial"/>
          <w:b/>
          <w:color w:val="1F497D" w:themeColor="text2"/>
          <w:sz w:val="26"/>
          <w:szCs w:val="26"/>
        </w:rPr>
        <w:t>diminuzione la disuguaglianza della spesa per consumi</w:t>
      </w:r>
    </w:p>
    <w:p w14:paraId="5FEB10DF" w14:textId="4950B8DA" w:rsidR="003616E2" w:rsidRDefault="00F417E4" w:rsidP="003616E2">
      <w:pPr>
        <w:pStyle w:val="Default"/>
        <w:spacing w:after="120"/>
        <w:jc w:val="both"/>
        <w:rPr>
          <w:rFonts w:ascii="Arial" w:hAnsi="Arial" w:cs="Arial"/>
          <w:color w:val="auto"/>
          <w:sz w:val="22"/>
          <w:szCs w:val="22"/>
        </w:rPr>
      </w:pPr>
      <w:r>
        <w:rPr>
          <w:rFonts w:ascii="Arial" w:hAnsi="Arial" w:cs="Arial"/>
          <w:color w:val="auto"/>
          <w:sz w:val="22"/>
          <w:szCs w:val="22"/>
        </w:rPr>
        <w:t>Nonostante la flessione più ampia delle spese registrata dalle famiglie più abbienti, c</w:t>
      </w:r>
      <w:r w:rsidR="00673934">
        <w:rPr>
          <w:rFonts w:ascii="Arial" w:hAnsi="Arial" w:cs="Arial"/>
          <w:color w:val="auto"/>
          <w:sz w:val="22"/>
          <w:szCs w:val="22"/>
        </w:rPr>
        <w:t>ome negli anni precedenti</w:t>
      </w:r>
      <w:r w:rsidR="006E5B71">
        <w:rPr>
          <w:rFonts w:ascii="Arial" w:hAnsi="Arial" w:cs="Arial"/>
          <w:color w:val="auto"/>
          <w:sz w:val="22"/>
          <w:szCs w:val="22"/>
        </w:rPr>
        <w:t xml:space="preserve"> </w:t>
      </w:r>
      <w:r w:rsidR="00673934">
        <w:rPr>
          <w:rFonts w:ascii="Arial" w:hAnsi="Arial" w:cs="Arial"/>
          <w:color w:val="auto"/>
          <w:sz w:val="22"/>
          <w:szCs w:val="22"/>
        </w:rPr>
        <w:t>anche n</w:t>
      </w:r>
      <w:r w:rsidR="00673934" w:rsidRPr="007A51C0">
        <w:rPr>
          <w:rFonts w:ascii="Arial" w:hAnsi="Arial" w:cs="Arial"/>
          <w:color w:val="auto"/>
          <w:sz w:val="22"/>
          <w:szCs w:val="22"/>
        </w:rPr>
        <w:t>el 20</w:t>
      </w:r>
      <w:r w:rsidR="00673934">
        <w:rPr>
          <w:rFonts w:ascii="Arial" w:hAnsi="Arial" w:cs="Arial"/>
          <w:color w:val="auto"/>
          <w:sz w:val="22"/>
          <w:szCs w:val="22"/>
        </w:rPr>
        <w:t>20</w:t>
      </w:r>
      <w:r w:rsidR="00673934" w:rsidRPr="007A51C0">
        <w:rPr>
          <w:rFonts w:ascii="Arial" w:hAnsi="Arial" w:cs="Arial"/>
          <w:color w:val="auto"/>
          <w:sz w:val="22"/>
          <w:szCs w:val="22"/>
        </w:rPr>
        <w:t xml:space="preserve"> i primi tre quinti delle famiglie spendono meno del 20% mentre i due quinti più </w:t>
      </w:r>
      <w:r w:rsidR="00673934">
        <w:rPr>
          <w:rFonts w:ascii="Arial" w:hAnsi="Arial" w:cs="Arial"/>
          <w:color w:val="auto"/>
          <w:sz w:val="22"/>
          <w:szCs w:val="22"/>
        </w:rPr>
        <w:t>elevati</w:t>
      </w:r>
      <w:r w:rsidR="00673934" w:rsidRPr="007A51C0">
        <w:rPr>
          <w:rFonts w:ascii="Arial" w:hAnsi="Arial" w:cs="Arial"/>
          <w:color w:val="auto"/>
          <w:sz w:val="22"/>
          <w:szCs w:val="22"/>
        </w:rPr>
        <w:t xml:space="preserve"> spendono più del 20%</w:t>
      </w:r>
      <w:r>
        <w:rPr>
          <w:rFonts w:ascii="Arial" w:hAnsi="Arial" w:cs="Arial"/>
          <w:color w:val="auto"/>
          <w:sz w:val="22"/>
          <w:szCs w:val="22"/>
        </w:rPr>
        <w:t xml:space="preserve"> (i</w:t>
      </w:r>
      <w:r w:rsidRPr="00F417E4">
        <w:rPr>
          <w:rFonts w:ascii="Arial" w:hAnsi="Arial" w:cs="Arial"/>
          <w:color w:val="auto"/>
          <w:sz w:val="22"/>
          <w:szCs w:val="22"/>
        </w:rPr>
        <w:t>n un’ipotetica situazione di perfetta uguaglianza, ogni quinto avrebbe una quota di spesa pari al 20% della spesa complessivamente sostenuta dal totale delle famiglie residenti</w:t>
      </w:r>
      <w:r>
        <w:rPr>
          <w:rFonts w:ascii="Arial" w:hAnsi="Arial" w:cs="Arial"/>
          <w:color w:val="auto"/>
          <w:sz w:val="22"/>
          <w:szCs w:val="22"/>
        </w:rPr>
        <w:t>)</w:t>
      </w:r>
      <w:r w:rsidR="00673934" w:rsidRPr="007A51C0">
        <w:rPr>
          <w:rFonts w:ascii="Arial" w:hAnsi="Arial" w:cs="Arial"/>
          <w:color w:val="auto"/>
          <w:sz w:val="22"/>
          <w:szCs w:val="22"/>
        </w:rPr>
        <w:t xml:space="preserve">. In particolare, le famiglie con spese più basse (primo quinto) spendono </w:t>
      </w:r>
      <w:r w:rsidR="00673934" w:rsidRPr="00ED3AD5">
        <w:rPr>
          <w:rFonts w:ascii="Arial" w:hAnsi="Arial" w:cs="Arial"/>
          <w:color w:val="auto"/>
          <w:sz w:val="22"/>
          <w:szCs w:val="22"/>
        </w:rPr>
        <w:t>l’8,2%</w:t>
      </w:r>
      <w:r w:rsidR="00673934" w:rsidRPr="007A51C0">
        <w:rPr>
          <w:rFonts w:ascii="Arial" w:hAnsi="Arial" w:cs="Arial"/>
          <w:color w:val="auto"/>
          <w:sz w:val="22"/>
          <w:szCs w:val="22"/>
        </w:rPr>
        <w:t xml:space="preserve"> della spesa totale (7,</w:t>
      </w:r>
      <w:r w:rsidR="00673934">
        <w:rPr>
          <w:rFonts w:ascii="Arial" w:hAnsi="Arial" w:cs="Arial"/>
          <w:color w:val="auto"/>
          <w:sz w:val="22"/>
          <w:szCs w:val="22"/>
        </w:rPr>
        <w:t>9</w:t>
      </w:r>
      <w:r w:rsidR="00673934" w:rsidRPr="007A51C0">
        <w:rPr>
          <w:rFonts w:ascii="Arial" w:hAnsi="Arial" w:cs="Arial"/>
          <w:color w:val="auto"/>
          <w:sz w:val="22"/>
          <w:szCs w:val="22"/>
        </w:rPr>
        <w:t>% nel 201</w:t>
      </w:r>
      <w:r w:rsidR="00673934">
        <w:rPr>
          <w:rFonts w:ascii="Arial" w:hAnsi="Arial" w:cs="Arial"/>
          <w:color w:val="auto"/>
          <w:sz w:val="22"/>
          <w:szCs w:val="22"/>
        </w:rPr>
        <w:t>9</w:t>
      </w:r>
      <w:r w:rsidR="00673934" w:rsidRPr="007A51C0">
        <w:rPr>
          <w:rFonts w:ascii="Arial" w:hAnsi="Arial" w:cs="Arial"/>
          <w:color w:val="auto"/>
          <w:sz w:val="22"/>
          <w:szCs w:val="22"/>
        </w:rPr>
        <w:t xml:space="preserve">) mentre quelle dell’ultimo quinto il </w:t>
      </w:r>
      <w:r w:rsidR="00673934" w:rsidRPr="00ED3AD5">
        <w:rPr>
          <w:rFonts w:ascii="Arial" w:hAnsi="Arial" w:cs="Arial"/>
          <w:color w:val="auto"/>
          <w:sz w:val="22"/>
          <w:szCs w:val="22"/>
        </w:rPr>
        <w:t>39,5%</w:t>
      </w:r>
      <w:r w:rsidR="00673934" w:rsidRPr="007A51C0">
        <w:rPr>
          <w:rFonts w:ascii="Arial" w:hAnsi="Arial" w:cs="Arial"/>
          <w:color w:val="auto"/>
          <w:sz w:val="22"/>
          <w:szCs w:val="22"/>
        </w:rPr>
        <w:t xml:space="preserve"> (</w:t>
      </w:r>
      <w:r w:rsidR="00673934">
        <w:rPr>
          <w:rFonts w:ascii="Arial" w:hAnsi="Arial" w:cs="Arial"/>
          <w:color w:val="auto"/>
          <w:sz w:val="22"/>
          <w:szCs w:val="22"/>
        </w:rPr>
        <w:t>era il 39,4% nel 2019</w:t>
      </w:r>
      <w:r w:rsidR="00673934" w:rsidRPr="007A51C0">
        <w:rPr>
          <w:rFonts w:ascii="Arial" w:hAnsi="Arial" w:cs="Arial"/>
          <w:color w:val="auto"/>
          <w:sz w:val="22"/>
          <w:szCs w:val="22"/>
        </w:rPr>
        <w:t>).</w:t>
      </w:r>
    </w:p>
    <w:p w14:paraId="446C70D5" w14:textId="7DDA7EF9" w:rsidR="00F417E4" w:rsidRDefault="00F417E4" w:rsidP="00F417E4">
      <w:pPr>
        <w:pStyle w:val="Default"/>
        <w:spacing w:after="120"/>
        <w:jc w:val="both"/>
        <w:rPr>
          <w:rFonts w:ascii="Arial" w:hAnsi="Arial" w:cs="Arial"/>
          <w:color w:val="auto"/>
          <w:sz w:val="22"/>
          <w:szCs w:val="22"/>
        </w:rPr>
      </w:pPr>
      <w:r w:rsidRPr="007A51C0">
        <w:rPr>
          <w:rFonts w:ascii="Arial" w:hAnsi="Arial" w:cs="Arial"/>
          <w:color w:val="auto"/>
          <w:sz w:val="22"/>
          <w:szCs w:val="22"/>
        </w:rPr>
        <w:t>Il rapporto tra la spesa totale equivalente delle famiglie del primo quinto e quella delle famiglie del</w:t>
      </w:r>
      <w:r>
        <w:rPr>
          <w:rFonts w:ascii="Arial" w:hAnsi="Arial" w:cs="Arial"/>
          <w:color w:val="auto"/>
          <w:sz w:val="22"/>
          <w:szCs w:val="22"/>
        </w:rPr>
        <w:t>l’ultimo</w:t>
      </w:r>
      <w:r w:rsidRPr="007A51C0">
        <w:rPr>
          <w:rFonts w:ascii="Arial" w:hAnsi="Arial" w:cs="Arial"/>
          <w:color w:val="auto"/>
          <w:sz w:val="22"/>
          <w:szCs w:val="22"/>
        </w:rPr>
        <w:t xml:space="preserve"> quinto è un </w:t>
      </w:r>
      <w:r>
        <w:rPr>
          <w:rFonts w:ascii="Arial" w:hAnsi="Arial" w:cs="Arial"/>
          <w:color w:val="auto"/>
          <w:sz w:val="22"/>
          <w:szCs w:val="22"/>
        </w:rPr>
        <w:t>indice</w:t>
      </w:r>
      <w:r w:rsidRPr="007A51C0">
        <w:rPr>
          <w:rFonts w:ascii="Arial" w:hAnsi="Arial" w:cs="Arial"/>
          <w:color w:val="auto"/>
          <w:sz w:val="22"/>
          <w:szCs w:val="22"/>
        </w:rPr>
        <w:t xml:space="preserve"> di disuguaglianza analogo al rapporto interquintilico</w:t>
      </w:r>
      <w:r w:rsidR="00B80D43">
        <w:rPr>
          <w:rFonts w:ascii="Arial" w:hAnsi="Arial" w:cs="Arial"/>
          <w:color w:val="auto"/>
          <w:sz w:val="22"/>
          <w:szCs w:val="22"/>
        </w:rPr>
        <w:t>,</w:t>
      </w:r>
      <w:r w:rsidRPr="007A51C0">
        <w:rPr>
          <w:rFonts w:ascii="Arial" w:hAnsi="Arial" w:cs="Arial"/>
          <w:color w:val="auto"/>
          <w:sz w:val="22"/>
          <w:szCs w:val="22"/>
        </w:rPr>
        <w:t xml:space="preserve"> uno degli indicatori maggiormente utilizzati per la misurazione della dis</w:t>
      </w:r>
      <w:r>
        <w:rPr>
          <w:rFonts w:ascii="Arial" w:hAnsi="Arial" w:cs="Arial"/>
          <w:color w:val="auto"/>
          <w:sz w:val="22"/>
          <w:szCs w:val="22"/>
        </w:rPr>
        <w:t>u</w:t>
      </w:r>
      <w:r w:rsidRPr="007A51C0">
        <w:rPr>
          <w:rFonts w:ascii="Arial" w:hAnsi="Arial" w:cs="Arial"/>
          <w:color w:val="auto"/>
          <w:sz w:val="22"/>
          <w:szCs w:val="22"/>
        </w:rPr>
        <w:t>guaglianza nella distribuzione dei redditi.</w:t>
      </w:r>
      <w:r>
        <w:rPr>
          <w:rFonts w:ascii="Arial" w:hAnsi="Arial" w:cs="Arial"/>
          <w:color w:val="auto"/>
          <w:sz w:val="22"/>
          <w:szCs w:val="22"/>
        </w:rPr>
        <w:t xml:space="preserve"> </w:t>
      </w:r>
      <w:r w:rsidRPr="007A51C0">
        <w:rPr>
          <w:rFonts w:ascii="Arial" w:hAnsi="Arial" w:cs="Arial"/>
          <w:color w:val="auto"/>
          <w:sz w:val="22"/>
          <w:szCs w:val="22"/>
        </w:rPr>
        <w:t xml:space="preserve">Le famiglie </w:t>
      </w:r>
      <w:r>
        <w:rPr>
          <w:rFonts w:ascii="Arial" w:hAnsi="Arial" w:cs="Arial"/>
          <w:color w:val="auto"/>
          <w:sz w:val="22"/>
          <w:szCs w:val="22"/>
        </w:rPr>
        <w:t>con una</w:t>
      </w:r>
      <w:r w:rsidRPr="007A51C0">
        <w:rPr>
          <w:rFonts w:ascii="Arial" w:hAnsi="Arial" w:cs="Arial"/>
          <w:color w:val="auto"/>
          <w:sz w:val="22"/>
          <w:szCs w:val="22"/>
        </w:rPr>
        <w:t xml:space="preserve"> spesa più elevata hanno</w:t>
      </w:r>
      <w:r>
        <w:rPr>
          <w:rFonts w:ascii="Arial" w:hAnsi="Arial" w:cs="Arial"/>
          <w:color w:val="auto"/>
          <w:sz w:val="22"/>
          <w:szCs w:val="22"/>
        </w:rPr>
        <w:t>, nel 2020,</w:t>
      </w:r>
      <w:r w:rsidRPr="007A51C0">
        <w:rPr>
          <w:rFonts w:ascii="Arial" w:hAnsi="Arial" w:cs="Arial"/>
          <w:color w:val="auto"/>
          <w:sz w:val="22"/>
          <w:szCs w:val="22"/>
        </w:rPr>
        <w:t xml:space="preserve"> un livello di spesa equivalente complessiva pari a </w:t>
      </w:r>
      <w:r w:rsidRPr="00ED3AD5">
        <w:rPr>
          <w:rFonts w:ascii="Arial" w:hAnsi="Arial" w:cs="Arial"/>
          <w:color w:val="auto"/>
          <w:sz w:val="22"/>
          <w:szCs w:val="22"/>
        </w:rPr>
        <w:t>4,8 volte</w:t>
      </w:r>
      <w:r w:rsidRPr="007A51C0">
        <w:rPr>
          <w:rFonts w:ascii="Arial" w:hAnsi="Arial" w:cs="Arial"/>
          <w:color w:val="auto"/>
          <w:sz w:val="22"/>
          <w:szCs w:val="22"/>
        </w:rPr>
        <w:t xml:space="preserve"> quella delle famiglie del primo quinto (</w:t>
      </w:r>
      <w:r>
        <w:rPr>
          <w:rFonts w:ascii="Arial" w:hAnsi="Arial" w:cs="Arial"/>
          <w:color w:val="auto"/>
          <w:sz w:val="22"/>
          <w:szCs w:val="22"/>
        </w:rPr>
        <w:t>5,0 nel 2019</w:t>
      </w:r>
      <w:r w:rsidR="00976B48">
        <w:rPr>
          <w:rFonts w:ascii="Arial" w:hAnsi="Arial" w:cs="Arial"/>
          <w:color w:val="auto"/>
          <w:sz w:val="22"/>
          <w:szCs w:val="22"/>
        </w:rPr>
        <w:t>;</w:t>
      </w:r>
      <w:r>
        <w:rPr>
          <w:rFonts w:ascii="Arial" w:hAnsi="Arial" w:cs="Arial"/>
          <w:color w:val="auto"/>
          <w:sz w:val="22"/>
          <w:szCs w:val="22"/>
        </w:rPr>
        <w:t xml:space="preserve"> 5,1 nel 201</w:t>
      </w:r>
      <w:r w:rsidR="00B80D43">
        <w:rPr>
          <w:rFonts w:ascii="Arial" w:hAnsi="Arial" w:cs="Arial"/>
          <w:color w:val="auto"/>
          <w:sz w:val="22"/>
          <w:szCs w:val="22"/>
        </w:rPr>
        <w:t>8</w:t>
      </w:r>
      <w:r w:rsidR="00976B48">
        <w:rPr>
          <w:rFonts w:ascii="Arial" w:hAnsi="Arial" w:cs="Arial"/>
          <w:color w:val="auto"/>
          <w:sz w:val="22"/>
          <w:szCs w:val="22"/>
        </w:rPr>
        <w:t>;</w:t>
      </w:r>
      <w:r>
        <w:rPr>
          <w:rFonts w:ascii="Arial" w:hAnsi="Arial" w:cs="Arial"/>
          <w:color w:val="auto"/>
          <w:sz w:val="22"/>
          <w:szCs w:val="22"/>
        </w:rPr>
        <w:t xml:space="preserve"> </w:t>
      </w:r>
      <w:r w:rsidRPr="007A51C0">
        <w:rPr>
          <w:rFonts w:ascii="Arial" w:hAnsi="Arial" w:cs="Arial"/>
          <w:color w:val="auto"/>
          <w:sz w:val="22"/>
          <w:szCs w:val="22"/>
        </w:rPr>
        <w:t>5,2 nel 2017</w:t>
      </w:r>
      <w:r w:rsidR="00976B48">
        <w:rPr>
          <w:rFonts w:ascii="Arial" w:hAnsi="Arial" w:cs="Arial"/>
          <w:color w:val="auto"/>
          <w:sz w:val="22"/>
          <w:szCs w:val="22"/>
        </w:rPr>
        <w:t>;</w:t>
      </w:r>
      <w:r w:rsidRPr="007A51C0">
        <w:rPr>
          <w:rFonts w:ascii="Arial" w:hAnsi="Arial" w:cs="Arial"/>
          <w:color w:val="auto"/>
          <w:sz w:val="22"/>
          <w:szCs w:val="22"/>
        </w:rPr>
        <w:t xml:space="preserve"> 5,0 nel 2016</w:t>
      </w:r>
      <w:r w:rsidR="00976B48">
        <w:rPr>
          <w:rFonts w:ascii="Arial" w:hAnsi="Arial" w:cs="Arial"/>
          <w:color w:val="auto"/>
          <w:sz w:val="22"/>
          <w:szCs w:val="22"/>
        </w:rPr>
        <w:t>;</w:t>
      </w:r>
      <w:r w:rsidRPr="007A51C0">
        <w:rPr>
          <w:rFonts w:ascii="Arial" w:hAnsi="Arial" w:cs="Arial"/>
          <w:color w:val="auto"/>
          <w:sz w:val="22"/>
          <w:szCs w:val="22"/>
        </w:rPr>
        <w:t xml:space="preserve"> 4,9 sia nel 2015 sia nel 2014</w:t>
      </w:r>
      <w:r w:rsidR="00976B48">
        <w:rPr>
          <w:rFonts w:ascii="Arial" w:hAnsi="Arial" w:cs="Arial"/>
          <w:color w:val="auto"/>
          <w:sz w:val="22"/>
          <w:szCs w:val="22"/>
        </w:rPr>
        <w:t>;</w:t>
      </w:r>
      <w:r w:rsidRPr="007A51C0">
        <w:rPr>
          <w:rFonts w:ascii="Arial" w:hAnsi="Arial" w:cs="Arial"/>
          <w:color w:val="auto"/>
          <w:sz w:val="22"/>
          <w:szCs w:val="22"/>
        </w:rPr>
        <w:t xml:space="preserve"> 4,8 nel 2013). </w:t>
      </w:r>
      <w:r>
        <w:rPr>
          <w:rFonts w:ascii="Arial" w:hAnsi="Arial" w:cs="Arial"/>
          <w:color w:val="auto"/>
          <w:sz w:val="22"/>
          <w:szCs w:val="22"/>
        </w:rPr>
        <w:t>Si</w:t>
      </w:r>
      <w:r w:rsidRPr="007A51C0">
        <w:rPr>
          <w:rFonts w:ascii="Arial" w:hAnsi="Arial" w:cs="Arial"/>
          <w:color w:val="auto"/>
          <w:sz w:val="22"/>
          <w:szCs w:val="22"/>
        </w:rPr>
        <w:t xml:space="preserve"> </w:t>
      </w:r>
      <w:r>
        <w:rPr>
          <w:rFonts w:ascii="Arial" w:hAnsi="Arial" w:cs="Arial"/>
          <w:color w:val="auto"/>
          <w:sz w:val="22"/>
          <w:szCs w:val="22"/>
        </w:rPr>
        <w:t>conferma dunque la</w:t>
      </w:r>
      <w:r w:rsidRPr="007A51C0">
        <w:rPr>
          <w:rFonts w:ascii="Arial" w:hAnsi="Arial" w:cs="Arial"/>
          <w:color w:val="auto"/>
          <w:sz w:val="22"/>
          <w:szCs w:val="22"/>
        </w:rPr>
        <w:t xml:space="preserve"> leggera diminuzione della disuguaglianza </w:t>
      </w:r>
      <w:r>
        <w:rPr>
          <w:rFonts w:ascii="Arial" w:hAnsi="Arial" w:cs="Arial"/>
          <w:color w:val="auto"/>
          <w:sz w:val="22"/>
          <w:szCs w:val="22"/>
        </w:rPr>
        <w:t>in atto dal 2018, che però nel 2020 è ascrivibile agli effetti delle restrizioni introdotte per contrastare la pandemia</w:t>
      </w:r>
      <w:r w:rsidR="00AE0E43">
        <w:rPr>
          <w:rFonts w:ascii="Arial" w:hAnsi="Arial" w:cs="Arial"/>
          <w:color w:val="auto"/>
          <w:sz w:val="22"/>
          <w:szCs w:val="22"/>
        </w:rPr>
        <w:t xml:space="preserve">, dato che i capitoli di spesa </w:t>
      </w:r>
      <w:r w:rsidR="00D269FB">
        <w:rPr>
          <w:rFonts w:ascii="Arial" w:hAnsi="Arial" w:cs="Arial"/>
          <w:color w:val="auto"/>
          <w:sz w:val="22"/>
          <w:szCs w:val="22"/>
        </w:rPr>
        <w:t>più colpiti dall’epidemia</w:t>
      </w:r>
      <w:r w:rsidR="00AE0E43">
        <w:rPr>
          <w:rFonts w:ascii="Arial" w:hAnsi="Arial" w:cs="Arial"/>
          <w:color w:val="auto"/>
          <w:sz w:val="22"/>
          <w:szCs w:val="22"/>
        </w:rPr>
        <w:t xml:space="preserve"> pesano maggiormente sulle spese delle famiglie più abbienti.</w:t>
      </w:r>
      <w:r>
        <w:rPr>
          <w:rFonts w:ascii="Arial" w:hAnsi="Arial" w:cs="Arial"/>
          <w:color w:val="auto"/>
          <w:sz w:val="22"/>
          <w:szCs w:val="22"/>
        </w:rPr>
        <w:t xml:space="preserve"> </w:t>
      </w:r>
    </w:p>
    <w:p w14:paraId="4A0F3F2D" w14:textId="5147FE49" w:rsidR="00094CC2" w:rsidRDefault="00094CC2" w:rsidP="006833DB">
      <w:pPr>
        <w:pStyle w:val="Default"/>
        <w:jc w:val="both"/>
        <w:rPr>
          <w:rFonts w:ascii="Arial" w:hAnsi="Arial" w:cs="Arial"/>
          <w:color w:val="auto"/>
          <w:sz w:val="20"/>
          <w:szCs w:val="22"/>
        </w:rPr>
      </w:pPr>
    </w:p>
    <w:p w14:paraId="51F324F7" w14:textId="77DDE787" w:rsidR="008A1BB9" w:rsidRDefault="008A1BB9" w:rsidP="006833DB">
      <w:pPr>
        <w:pStyle w:val="Default"/>
        <w:jc w:val="both"/>
        <w:rPr>
          <w:rFonts w:ascii="Arial" w:hAnsi="Arial" w:cs="Arial"/>
          <w:color w:val="auto"/>
          <w:sz w:val="20"/>
          <w:szCs w:val="22"/>
        </w:rPr>
      </w:pPr>
    </w:p>
    <w:p w14:paraId="1708110B" w14:textId="2B829529" w:rsidR="008A1BB9" w:rsidRDefault="008A1BB9" w:rsidP="006833DB">
      <w:pPr>
        <w:pStyle w:val="Default"/>
        <w:jc w:val="both"/>
        <w:rPr>
          <w:rFonts w:ascii="Arial" w:hAnsi="Arial" w:cs="Arial"/>
          <w:color w:val="auto"/>
          <w:sz w:val="20"/>
          <w:szCs w:val="22"/>
        </w:rPr>
      </w:pPr>
    </w:p>
    <w:p w14:paraId="4BA10848" w14:textId="77777777" w:rsidR="008A1BB9" w:rsidRDefault="008A1BB9" w:rsidP="006833DB">
      <w:pPr>
        <w:pStyle w:val="Default"/>
        <w:jc w:val="both"/>
        <w:rPr>
          <w:rFonts w:ascii="Arial" w:hAnsi="Arial" w:cs="Arial"/>
          <w:color w:val="auto"/>
          <w:sz w:val="20"/>
          <w:szCs w:val="22"/>
        </w:rPr>
      </w:pPr>
    </w:p>
    <w:p w14:paraId="6EC64B58" w14:textId="66FB6DC0" w:rsidR="005021ED" w:rsidRDefault="005021ED" w:rsidP="005021ED">
      <w:pPr>
        <w:pStyle w:val="Default"/>
        <w:spacing w:after="120"/>
        <w:jc w:val="both"/>
        <w:rPr>
          <w:rFonts w:ascii="Arial Narrow" w:hAnsi="Arial Narrow"/>
          <w:iCs/>
          <w:noProof/>
          <w:color w:val="1F497D" w:themeColor="text2"/>
          <w:sz w:val="22"/>
          <w:szCs w:val="22"/>
        </w:rPr>
      </w:pPr>
      <w:r>
        <w:rPr>
          <w:rFonts w:ascii="Arial Black" w:hAnsi="Arial Black" w:cs="Arial"/>
          <w:b/>
          <w:iCs/>
          <w:noProof/>
          <w:color w:val="1F497D" w:themeColor="text2"/>
          <w:sz w:val="22"/>
          <w:szCs w:val="22"/>
        </w:rPr>
        <w:t xml:space="preserve">FIGURA 7. </w:t>
      </w:r>
      <w:r w:rsidRPr="00F43381">
        <w:rPr>
          <w:rFonts w:ascii="Arial Narrow" w:hAnsi="Arial Narrow" w:cs="Arial"/>
          <w:b/>
          <w:iCs/>
          <w:noProof/>
          <w:color w:val="1F497D" w:themeColor="text2"/>
          <w:sz w:val="22"/>
          <w:szCs w:val="22"/>
        </w:rPr>
        <w:t>SPESA FAMILIARE EQUIVALENTE PER FAMIGLIE ORDINATE IN QUINTI.</w:t>
      </w:r>
      <w:r>
        <w:rPr>
          <w:rFonts w:ascii="Arial Narrow" w:hAnsi="Arial Narrow" w:cs="Arial"/>
          <w:b/>
          <w:iCs/>
          <w:noProof/>
          <w:color w:val="1F497D" w:themeColor="text2"/>
          <w:sz w:val="22"/>
          <w:szCs w:val="22"/>
        </w:rPr>
        <w:t xml:space="preserve"> </w:t>
      </w:r>
      <w:r w:rsidRPr="006662D9">
        <w:rPr>
          <w:rFonts w:ascii="Arial Narrow" w:hAnsi="Arial Narrow"/>
          <w:iCs/>
          <w:noProof/>
          <w:color w:val="1F497D" w:themeColor="text2"/>
          <w:sz w:val="22"/>
          <w:szCs w:val="22"/>
        </w:rPr>
        <w:t xml:space="preserve">Anni </w:t>
      </w:r>
      <w:r w:rsidR="00830FD3">
        <w:rPr>
          <w:rFonts w:ascii="Arial Narrow" w:hAnsi="Arial Narrow"/>
          <w:iCs/>
          <w:noProof/>
          <w:color w:val="1F497D" w:themeColor="text2"/>
          <w:sz w:val="22"/>
          <w:szCs w:val="22"/>
        </w:rPr>
        <w:t xml:space="preserve">2013, </w:t>
      </w:r>
      <w:r w:rsidRPr="000A1B1D">
        <w:rPr>
          <w:rFonts w:ascii="Arial Narrow" w:hAnsi="Arial Narrow"/>
          <w:iCs/>
          <w:noProof/>
          <w:color w:val="1F497D" w:themeColor="text2"/>
          <w:sz w:val="22"/>
          <w:szCs w:val="22"/>
        </w:rPr>
        <w:t>201</w:t>
      </w:r>
      <w:r w:rsidR="00EA3899">
        <w:rPr>
          <w:rFonts w:ascii="Arial Narrow" w:hAnsi="Arial Narrow"/>
          <w:iCs/>
          <w:noProof/>
          <w:color w:val="1F497D" w:themeColor="text2"/>
          <w:sz w:val="22"/>
          <w:szCs w:val="22"/>
        </w:rPr>
        <w:t>7</w:t>
      </w:r>
      <w:r w:rsidRPr="000A1B1D">
        <w:rPr>
          <w:rFonts w:ascii="Arial Narrow" w:hAnsi="Arial Narrow"/>
          <w:iCs/>
          <w:noProof/>
          <w:color w:val="1F497D" w:themeColor="text2"/>
          <w:sz w:val="22"/>
          <w:szCs w:val="22"/>
        </w:rPr>
        <w:t xml:space="preserve"> e </w:t>
      </w:r>
      <w:r w:rsidR="00C70D65">
        <w:rPr>
          <w:rFonts w:ascii="Arial Narrow" w:hAnsi="Arial Narrow"/>
          <w:iCs/>
          <w:noProof/>
          <w:color w:val="1F497D" w:themeColor="text2"/>
          <w:sz w:val="22"/>
          <w:szCs w:val="22"/>
        </w:rPr>
        <w:t>2020</w:t>
      </w:r>
      <w:r w:rsidRPr="006662D9">
        <w:rPr>
          <w:rFonts w:ascii="Arial Narrow" w:hAnsi="Arial Narrow"/>
          <w:iCs/>
          <w:noProof/>
          <w:color w:val="1F497D" w:themeColor="text2"/>
          <w:sz w:val="22"/>
          <w:szCs w:val="22"/>
        </w:rPr>
        <w:t xml:space="preserve">, </w:t>
      </w:r>
      <w:r>
        <w:rPr>
          <w:rFonts w:ascii="Arial Narrow" w:hAnsi="Arial Narrow"/>
          <w:iCs/>
          <w:noProof/>
          <w:color w:val="1F497D" w:themeColor="text2"/>
          <w:sz w:val="22"/>
          <w:szCs w:val="22"/>
        </w:rPr>
        <w:t>composizione percentuale</w:t>
      </w:r>
    </w:p>
    <w:p w14:paraId="5B6CF0E9" w14:textId="5E959229" w:rsidR="000A1B1D" w:rsidRPr="00B02E59" w:rsidRDefault="00E0666A" w:rsidP="005021ED">
      <w:pPr>
        <w:pStyle w:val="Default"/>
        <w:spacing w:after="120"/>
        <w:jc w:val="both"/>
        <w:rPr>
          <w:rFonts w:ascii="Arial" w:hAnsi="Arial" w:cs="Arial"/>
          <w:color w:val="auto"/>
          <w:sz w:val="18"/>
          <w:szCs w:val="22"/>
        </w:rPr>
      </w:pPr>
      <w:r>
        <w:rPr>
          <w:noProof/>
        </w:rPr>
        <mc:AlternateContent>
          <mc:Choice Requires="wpg">
            <w:drawing>
              <wp:anchor distT="0" distB="0" distL="114300" distR="114300" simplePos="0" relativeHeight="251730944" behindDoc="0" locked="0" layoutInCell="1" allowOverlap="1" wp14:anchorId="10FD4358" wp14:editId="48B80E6B">
                <wp:simplePos x="0" y="0"/>
                <wp:positionH relativeFrom="column">
                  <wp:posOffset>0</wp:posOffset>
                </wp:positionH>
                <wp:positionV relativeFrom="paragraph">
                  <wp:posOffset>109524</wp:posOffset>
                </wp:positionV>
                <wp:extent cx="6372000" cy="2376000"/>
                <wp:effectExtent l="0" t="0" r="0" b="0"/>
                <wp:wrapNone/>
                <wp:docPr id="12" name="Gruppo 6"/>
                <wp:cNvGraphicFramePr/>
                <a:graphic xmlns:a="http://schemas.openxmlformats.org/drawingml/2006/main">
                  <a:graphicData uri="http://schemas.microsoft.com/office/word/2010/wordprocessingGroup">
                    <wpg:wgp>
                      <wpg:cNvGrpSpPr/>
                      <wpg:grpSpPr>
                        <a:xfrm>
                          <a:off x="0" y="0"/>
                          <a:ext cx="6372000" cy="2376000"/>
                          <a:chOff x="0" y="0"/>
                          <a:chExt cx="6246223" cy="1668098"/>
                        </a:xfrm>
                      </wpg:grpSpPr>
                      <wpg:graphicFrame>
                        <wpg:cNvPr id="14" name="Grafico 14"/>
                        <wpg:cNvFrPr>
                          <a:graphicFrameLocks/>
                        </wpg:cNvFrPr>
                        <wpg:xfrm>
                          <a:off x="2067076" y="2"/>
                          <a:ext cx="2102400" cy="16668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5" name="Grafico 15"/>
                        <wpg:cNvFrPr>
                          <a:graphicFrameLocks/>
                        </wpg:cNvFrPr>
                        <wpg:xfrm>
                          <a:off x="4143823" y="0"/>
                          <a:ext cx="2102400" cy="16668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8" name="Grafico 18"/>
                        <wpg:cNvFrPr>
                          <a:graphicFrameLocks/>
                        </wpg:cNvFrPr>
                        <wpg:xfrm>
                          <a:off x="0" y="2"/>
                          <a:ext cx="2101701" cy="1668096"/>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anchor>
            </w:drawing>
          </mc:Choice>
          <mc:Fallback>
            <w:pict>
              <v:group w14:anchorId="1C08E73C" id="Gruppo 6" o:spid="_x0000_s1026" style="position:absolute;margin-left:0;margin-top:8.6pt;width:501.75pt;height:187.1pt;z-index:251730944" coordsize="62462,16680"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co 14" o:spid="_x0000_s1027" type="#_x0000_t75" style="position:absolute;left:22109;top:770;width:18884;height:13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">
                  <v:imagedata r:id="rId23" o:title=""/>
                  <o:lock v:ext="edit" aspectratio="f"/>
                </v:shape>
                <v:shape id="Grafico 15" o:spid="_x0000_s1028" type="#_x0000_t75" style="position:absolute;left:42965;top:770;width:18225;height:14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">
                  <v:imagedata r:id="rId24" o:title=""/>
                  <o:lock v:ext="edit" aspectratio="f"/>
                </v:shape>
                <v:shape id="Grafico 18" o:spid="_x0000_s1029" type="#_x0000_t75" style="position:absolute;left:1732;top:770;width:18286;height:140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">
                  <v:imagedata r:id="rId25" o:title=""/>
                  <o:lock v:ext="edit" aspectratio="f"/>
                </v:shape>
              </v:group>
            </w:pict>
          </mc:Fallback>
        </mc:AlternateContent>
      </w:r>
      <w:r w:rsidR="00EA3899" w:rsidDel="00EA3899">
        <w:rPr>
          <w:noProof/>
        </w:rPr>
        <w:t xml:space="preserve"> </w:t>
      </w:r>
    </w:p>
    <w:p w14:paraId="689EFF78" w14:textId="0C17BD49" w:rsidR="005021ED" w:rsidRPr="00B02E59" w:rsidRDefault="005021ED" w:rsidP="00A11606">
      <w:pPr>
        <w:pStyle w:val="Default"/>
        <w:spacing w:after="120"/>
        <w:jc w:val="both"/>
        <w:rPr>
          <w:rFonts w:ascii="Arial" w:hAnsi="Arial" w:cs="Arial"/>
          <w:color w:val="auto"/>
          <w:sz w:val="16"/>
          <w:szCs w:val="22"/>
        </w:rPr>
      </w:pPr>
    </w:p>
    <w:p w14:paraId="36BB7EF4" w14:textId="77777777" w:rsidR="005021ED" w:rsidRPr="00B02E59" w:rsidRDefault="005021ED" w:rsidP="00A11606">
      <w:pPr>
        <w:pStyle w:val="Default"/>
        <w:spacing w:after="120"/>
        <w:jc w:val="both"/>
        <w:rPr>
          <w:rFonts w:ascii="Arial" w:hAnsi="Arial" w:cs="Arial"/>
          <w:color w:val="auto"/>
          <w:sz w:val="16"/>
          <w:szCs w:val="22"/>
        </w:rPr>
      </w:pPr>
    </w:p>
    <w:p w14:paraId="520220BE" w14:textId="77777777" w:rsidR="005021ED" w:rsidRPr="00B02E59" w:rsidRDefault="005021ED" w:rsidP="00A11606">
      <w:pPr>
        <w:pStyle w:val="Default"/>
        <w:spacing w:after="120"/>
        <w:jc w:val="both"/>
        <w:rPr>
          <w:rFonts w:ascii="Arial" w:hAnsi="Arial" w:cs="Arial"/>
          <w:color w:val="auto"/>
          <w:sz w:val="16"/>
          <w:szCs w:val="22"/>
        </w:rPr>
      </w:pPr>
    </w:p>
    <w:p w14:paraId="36AF0B84" w14:textId="77777777" w:rsidR="005021ED" w:rsidRPr="00B02E59" w:rsidRDefault="005021ED" w:rsidP="00A11606">
      <w:pPr>
        <w:pStyle w:val="Default"/>
        <w:spacing w:after="120"/>
        <w:jc w:val="both"/>
        <w:rPr>
          <w:rFonts w:ascii="Arial" w:hAnsi="Arial" w:cs="Arial"/>
          <w:color w:val="auto"/>
          <w:sz w:val="16"/>
          <w:szCs w:val="22"/>
        </w:rPr>
      </w:pPr>
    </w:p>
    <w:p w14:paraId="74598F68" w14:textId="77777777" w:rsidR="005021ED" w:rsidRPr="00B02E59" w:rsidRDefault="005021ED" w:rsidP="00A11606">
      <w:pPr>
        <w:pStyle w:val="Default"/>
        <w:spacing w:after="120"/>
        <w:jc w:val="both"/>
        <w:rPr>
          <w:rFonts w:ascii="Arial" w:hAnsi="Arial" w:cs="Arial"/>
          <w:color w:val="auto"/>
          <w:sz w:val="16"/>
          <w:szCs w:val="22"/>
        </w:rPr>
      </w:pPr>
    </w:p>
    <w:p w14:paraId="2ADF7B6C" w14:textId="77777777" w:rsidR="005021ED" w:rsidRPr="00B02E59" w:rsidRDefault="005021ED" w:rsidP="00A11606">
      <w:pPr>
        <w:pStyle w:val="Default"/>
        <w:spacing w:after="120"/>
        <w:jc w:val="both"/>
        <w:rPr>
          <w:rFonts w:ascii="Arial" w:hAnsi="Arial" w:cs="Arial"/>
          <w:color w:val="auto"/>
          <w:sz w:val="16"/>
          <w:szCs w:val="22"/>
        </w:rPr>
      </w:pPr>
    </w:p>
    <w:p w14:paraId="5A8EB4A0" w14:textId="77777777" w:rsidR="005021ED" w:rsidRPr="00B02E59" w:rsidRDefault="005021ED" w:rsidP="00A11606">
      <w:pPr>
        <w:pStyle w:val="Default"/>
        <w:spacing w:after="120"/>
        <w:jc w:val="both"/>
        <w:rPr>
          <w:rFonts w:ascii="Arial" w:hAnsi="Arial" w:cs="Arial"/>
          <w:color w:val="auto"/>
          <w:sz w:val="16"/>
          <w:szCs w:val="22"/>
        </w:rPr>
      </w:pPr>
    </w:p>
    <w:p w14:paraId="2FB44886" w14:textId="64B9BAC0" w:rsidR="005021ED" w:rsidRDefault="005021ED" w:rsidP="00A11606">
      <w:pPr>
        <w:pStyle w:val="Default"/>
        <w:spacing w:after="120"/>
        <w:jc w:val="both"/>
        <w:rPr>
          <w:rFonts w:ascii="Arial" w:hAnsi="Arial" w:cs="Arial"/>
          <w:color w:val="auto"/>
          <w:sz w:val="16"/>
          <w:szCs w:val="22"/>
        </w:rPr>
      </w:pPr>
    </w:p>
    <w:p w14:paraId="443E56C1" w14:textId="183CB3BC" w:rsidR="0058635D" w:rsidRPr="00B02E59" w:rsidRDefault="00136F83" w:rsidP="00136F83">
      <w:pPr>
        <w:pStyle w:val="Default"/>
        <w:tabs>
          <w:tab w:val="left" w:pos="6770"/>
        </w:tabs>
        <w:spacing w:after="120"/>
        <w:jc w:val="both"/>
        <w:rPr>
          <w:rFonts w:ascii="Arial" w:hAnsi="Arial" w:cs="Arial"/>
          <w:color w:val="auto"/>
          <w:sz w:val="16"/>
          <w:szCs w:val="22"/>
        </w:rPr>
      </w:pPr>
      <w:r>
        <w:rPr>
          <w:rFonts w:ascii="Arial" w:hAnsi="Arial" w:cs="Arial"/>
          <w:color w:val="auto"/>
          <w:sz w:val="16"/>
          <w:szCs w:val="22"/>
        </w:rPr>
        <w:tab/>
      </w:r>
    </w:p>
    <w:p w14:paraId="170D71B4" w14:textId="77777777" w:rsidR="00AA6B98" w:rsidRPr="00B02E59" w:rsidRDefault="00AA6B98" w:rsidP="00A11606">
      <w:pPr>
        <w:pStyle w:val="Default"/>
        <w:spacing w:after="120"/>
        <w:jc w:val="both"/>
        <w:rPr>
          <w:rFonts w:ascii="Arial" w:hAnsi="Arial" w:cs="Arial"/>
          <w:color w:val="auto"/>
          <w:sz w:val="16"/>
          <w:szCs w:val="22"/>
        </w:rPr>
      </w:pPr>
    </w:p>
    <w:p w14:paraId="324F13D3" w14:textId="79D26823" w:rsidR="00B02E59" w:rsidRDefault="00B02E59" w:rsidP="00A11606">
      <w:pPr>
        <w:pStyle w:val="Default"/>
        <w:spacing w:after="120"/>
        <w:jc w:val="both"/>
        <w:rPr>
          <w:rFonts w:ascii="Arial" w:hAnsi="Arial" w:cs="Arial"/>
          <w:color w:val="auto"/>
          <w:sz w:val="20"/>
          <w:szCs w:val="22"/>
        </w:rPr>
      </w:pPr>
      <w:r>
        <w:rPr>
          <w:rFonts w:ascii="Arial" w:hAnsi="Arial" w:cs="Arial"/>
          <w:color w:val="auto"/>
          <w:sz w:val="20"/>
          <w:szCs w:val="22"/>
        </w:rPr>
        <w:br w:type="page"/>
      </w:r>
    </w:p>
    <w:p w14:paraId="6AF85DCE" w14:textId="00F1A510" w:rsidR="00F65AA7" w:rsidRDefault="00F65AA7" w:rsidP="00ED3AD5">
      <w:pPr>
        <w:pStyle w:val="Default"/>
        <w:spacing w:after="120"/>
        <w:jc w:val="both"/>
        <w:rPr>
          <w:rFonts w:ascii="Arial" w:hAnsi="Arial" w:cs="Arial"/>
          <w:color w:val="auto"/>
          <w:sz w:val="22"/>
          <w:szCs w:val="22"/>
        </w:rPr>
      </w:pPr>
    </w:p>
    <w:p w14:paraId="779010E4" w14:textId="5D3BAEE3" w:rsidR="006833DB" w:rsidRDefault="006833DB" w:rsidP="006833DB">
      <w:pPr>
        <w:pStyle w:val="Default"/>
        <w:spacing w:after="120"/>
        <w:jc w:val="both"/>
        <w:rPr>
          <w:rFonts w:ascii="Arial" w:hAnsi="Arial" w:cs="Arial"/>
          <w:color w:val="auto"/>
          <w:sz w:val="22"/>
          <w:szCs w:val="22"/>
        </w:rPr>
      </w:pPr>
      <w:r w:rsidRPr="0067386F">
        <w:rPr>
          <w:rFonts w:ascii="Arial" w:hAnsi="Arial" w:cs="Arial"/>
          <w:color w:val="auto"/>
          <w:sz w:val="22"/>
          <w:szCs w:val="22"/>
        </w:rPr>
        <w:t xml:space="preserve">Le famiglie si distribuiscono nei quinti di spesa equivalente, definiti a livello nazionale, in maniera differente sul territorio. Appartengono al quinto di spesa più elevato il </w:t>
      </w:r>
      <w:r w:rsidRPr="00ED3AD5">
        <w:rPr>
          <w:rFonts w:ascii="Arial" w:hAnsi="Arial" w:cs="Arial"/>
          <w:color w:val="auto"/>
          <w:sz w:val="22"/>
          <w:szCs w:val="22"/>
        </w:rPr>
        <w:t>25,4%</w:t>
      </w:r>
      <w:r w:rsidRPr="0067386F">
        <w:rPr>
          <w:rFonts w:ascii="Arial" w:hAnsi="Arial" w:cs="Arial"/>
          <w:color w:val="auto"/>
          <w:sz w:val="22"/>
          <w:szCs w:val="22"/>
        </w:rPr>
        <w:t xml:space="preserve"> delle famiglie del </w:t>
      </w:r>
      <w:r w:rsidR="0084681F">
        <w:rPr>
          <w:rFonts w:ascii="Arial" w:hAnsi="Arial" w:cs="Arial"/>
          <w:color w:val="auto"/>
          <w:sz w:val="22"/>
          <w:szCs w:val="22"/>
        </w:rPr>
        <w:br/>
      </w:r>
      <w:r w:rsidRPr="0067386F">
        <w:rPr>
          <w:rFonts w:ascii="Arial" w:hAnsi="Arial" w:cs="Arial"/>
          <w:color w:val="auto"/>
          <w:sz w:val="22"/>
          <w:szCs w:val="22"/>
        </w:rPr>
        <w:t>Nord-ovest (26,2% nel 201</w:t>
      </w:r>
      <w:r>
        <w:rPr>
          <w:rFonts w:ascii="Arial" w:hAnsi="Arial" w:cs="Arial"/>
          <w:color w:val="auto"/>
          <w:sz w:val="22"/>
          <w:szCs w:val="22"/>
        </w:rPr>
        <w:t>9</w:t>
      </w:r>
      <w:r w:rsidRPr="0067386F">
        <w:rPr>
          <w:rFonts w:ascii="Arial" w:hAnsi="Arial" w:cs="Arial"/>
          <w:color w:val="auto"/>
          <w:sz w:val="22"/>
          <w:szCs w:val="22"/>
        </w:rPr>
        <w:t xml:space="preserve">), il </w:t>
      </w:r>
      <w:r w:rsidRPr="00ED3AD5">
        <w:rPr>
          <w:rFonts w:ascii="Arial" w:hAnsi="Arial" w:cs="Arial"/>
          <w:color w:val="auto"/>
          <w:sz w:val="22"/>
          <w:szCs w:val="22"/>
        </w:rPr>
        <w:t>23,9%</w:t>
      </w:r>
      <w:r w:rsidRPr="0067386F">
        <w:rPr>
          <w:rFonts w:ascii="Arial" w:hAnsi="Arial" w:cs="Arial"/>
          <w:color w:val="auto"/>
          <w:sz w:val="22"/>
          <w:szCs w:val="22"/>
        </w:rPr>
        <w:t xml:space="preserve"> di quelle del Nord-est (23,0% nel 201</w:t>
      </w:r>
      <w:r>
        <w:rPr>
          <w:rFonts w:ascii="Arial" w:hAnsi="Arial" w:cs="Arial"/>
          <w:color w:val="auto"/>
          <w:sz w:val="22"/>
          <w:szCs w:val="22"/>
        </w:rPr>
        <w:t>9</w:t>
      </w:r>
      <w:r w:rsidRPr="0067386F">
        <w:rPr>
          <w:rFonts w:ascii="Arial" w:hAnsi="Arial" w:cs="Arial"/>
          <w:color w:val="auto"/>
          <w:sz w:val="22"/>
          <w:szCs w:val="22"/>
        </w:rPr>
        <w:t xml:space="preserve">) e il </w:t>
      </w:r>
      <w:r w:rsidRPr="00ED3AD5">
        <w:rPr>
          <w:rFonts w:ascii="Arial" w:hAnsi="Arial" w:cs="Arial"/>
          <w:color w:val="auto"/>
          <w:sz w:val="22"/>
          <w:szCs w:val="22"/>
        </w:rPr>
        <w:t>25,4%</w:t>
      </w:r>
      <w:r w:rsidRPr="0067386F">
        <w:rPr>
          <w:rFonts w:ascii="Arial" w:hAnsi="Arial" w:cs="Arial"/>
          <w:color w:val="auto"/>
          <w:sz w:val="22"/>
          <w:szCs w:val="22"/>
        </w:rPr>
        <w:t xml:space="preserve"> delle famiglie del Centro (24,5% nel 201</w:t>
      </w:r>
      <w:r>
        <w:rPr>
          <w:rFonts w:ascii="Arial" w:hAnsi="Arial" w:cs="Arial"/>
          <w:color w:val="auto"/>
          <w:sz w:val="22"/>
          <w:szCs w:val="22"/>
        </w:rPr>
        <w:t>9</w:t>
      </w:r>
      <w:r w:rsidRPr="0067386F">
        <w:rPr>
          <w:rFonts w:ascii="Arial" w:hAnsi="Arial" w:cs="Arial"/>
          <w:color w:val="auto"/>
          <w:sz w:val="22"/>
          <w:szCs w:val="22"/>
        </w:rPr>
        <w:t xml:space="preserve">), contro il </w:t>
      </w:r>
      <w:r w:rsidRPr="00ED3AD5">
        <w:rPr>
          <w:rFonts w:ascii="Arial" w:hAnsi="Arial" w:cs="Arial"/>
          <w:color w:val="auto"/>
          <w:sz w:val="22"/>
          <w:szCs w:val="22"/>
        </w:rPr>
        <w:t>9,0%</w:t>
      </w:r>
      <w:r w:rsidRPr="0067386F">
        <w:rPr>
          <w:rFonts w:ascii="Arial" w:hAnsi="Arial" w:cs="Arial"/>
          <w:color w:val="auto"/>
          <w:sz w:val="22"/>
          <w:szCs w:val="22"/>
        </w:rPr>
        <w:t xml:space="preserve"> delle famiglie del Sud (il 9,3% nel 201</w:t>
      </w:r>
      <w:r>
        <w:rPr>
          <w:rFonts w:ascii="Arial" w:hAnsi="Arial" w:cs="Arial"/>
          <w:color w:val="auto"/>
          <w:sz w:val="22"/>
          <w:szCs w:val="22"/>
        </w:rPr>
        <w:t>9</w:t>
      </w:r>
      <w:r w:rsidRPr="0067386F">
        <w:rPr>
          <w:rFonts w:ascii="Arial" w:hAnsi="Arial" w:cs="Arial"/>
          <w:color w:val="auto"/>
          <w:sz w:val="22"/>
          <w:szCs w:val="22"/>
        </w:rPr>
        <w:t xml:space="preserve">) e il </w:t>
      </w:r>
      <w:r w:rsidRPr="00ED3AD5">
        <w:rPr>
          <w:rFonts w:ascii="Arial" w:hAnsi="Arial" w:cs="Arial"/>
          <w:color w:val="auto"/>
          <w:sz w:val="22"/>
          <w:szCs w:val="22"/>
        </w:rPr>
        <w:t>9,9%</w:t>
      </w:r>
      <w:r w:rsidRPr="0067386F">
        <w:rPr>
          <w:rFonts w:ascii="Arial" w:hAnsi="Arial" w:cs="Arial"/>
          <w:color w:val="auto"/>
          <w:sz w:val="22"/>
          <w:szCs w:val="22"/>
        </w:rPr>
        <w:t xml:space="preserve"> di quelle delle Isole (10,8% nel 201</w:t>
      </w:r>
      <w:r>
        <w:rPr>
          <w:rFonts w:ascii="Arial" w:hAnsi="Arial" w:cs="Arial"/>
          <w:color w:val="auto"/>
          <w:sz w:val="22"/>
          <w:szCs w:val="22"/>
        </w:rPr>
        <w:t>9</w:t>
      </w:r>
      <w:r w:rsidRPr="0067386F">
        <w:rPr>
          <w:rFonts w:ascii="Arial" w:hAnsi="Arial" w:cs="Arial"/>
          <w:color w:val="auto"/>
          <w:sz w:val="22"/>
          <w:szCs w:val="22"/>
        </w:rPr>
        <w:t>). Circa un terzo delle famiglie del Mezzogiorno (</w:t>
      </w:r>
      <w:r w:rsidRPr="00ED3AD5">
        <w:rPr>
          <w:rFonts w:ascii="Arial" w:hAnsi="Arial" w:cs="Arial"/>
          <w:color w:val="auto"/>
          <w:sz w:val="22"/>
          <w:szCs w:val="22"/>
        </w:rPr>
        <w:t>34,1%</w:t>
      </w:r>
      <w:r w:rsidRPr="0067386F">
        <w:rPr>
          <w:rFonts w:ascii="Arial" w:hAnsi="Arial" w:cs="Arial"/>
          <w:color w:val="auto"/>
          <w:sz w:val="22"/>
          <w:szCs w:val="22"/>
        </w:rPr>
        <w:t xml:space="preserve"> nel Sud e </w:t>
      </w:r>
      <w:r w:rsidRPr="00ED3AD5">
        <w:rPr>
          <w:rFonts w:ascii="Arial" w:hAnsi="Arial" w:cs="Arial"/>
          <w:color w:val="auto"/>
          <w:sz w:val="22"/>
          <w:szCs w:val="22"/>
        </w:rPr>
        <w:t>32,4%</w:t>
      </w:r>
      <w:r w:rsidRPr="0067386F">
        <w:rPr>
          <w:rFonts w:ascii="Arial" w:hAnsi="Arial" w:cs="Arial"/>
          <w:color w:val="auto"/>
          <w:sz w:val="22"/>
          <w:szCs w:val="22"/>
        </w:rPr>
        <w:t xml:space="preserve"> nelle Isole) si posiziona nel primo quinto, contro il </w:t>
      </w:r>
      <w:r w:rsidRPr="00ED3AD5">
        <w:rPr>
          <w:rFonts w:ascii="Arial" w:hAnsi="Arial" w:cs="Arial"/>
          <w:color w:val="auto"/>
          <w:sz w:val="22"/>
          <w:szCs w:val="22"/>
        </w:rPr>
        <w:t>13,6%</w:t>
      </w:r>
      <w:r w:rsidRPr="0067386F">
        <w:rPr>
          <w:rFonts w:ascii="Arial" w:hAnsi="Arial" w:cs="Arial"/>
          <w:color w:val="auto"/>
          <w:sz w:val="22"/>
          <w:szCs w:val="22"/>
        </w:rPr>
        <w:t xml:space="preserve"> del Nord-ovest, il </w:t>
      </w:r>
      <w:r w:rsidRPr="00ED3AD5">
        <w:rPr>
          <w:rFonts w:ascii="Arial" w:hAnsi="Arial" w:cs="Arial"/>
          <w:color w:val="auto"/>
          <w:sz w:val="22"/>
          <w:szCs w:val="22"/>
        </w:rPr>
        <w:t>13,4%</w:t>
      </w:r>
      <w:r w:rsidRPr="0067386F">
        <w:rPr>
          <w:rFonts w:ascii="Arial" w:hAnsi="Arial" w:cs="Arial"/>
          <w:color w:val="auto"/>
          <w:sz w:val="22"/>
          <w:szCs w:val="22"/>
        </w:rPr>
        <w:t xml:space="preserve"> del Nord-est e il </w:t>
      </w:r>
      <w:r w:rsidRPr="00ED3AD5">
        <w:rPr>
          <w:rFonts w:ascii="Arial" w:hAnsi="Arial" w:cs="Arial"/>
          <w:color w:val="auto"/>
          <w:sz w:val="22"/>
          <w:szCs w:val="22"/>
        </w:rPr>
        <w:t>14,2%</w:t>
      </w:r>
      <w:r w:rsidRPr="0067386F">
        <w:rPr>
          <w:rFonts w:ascii="Arial" w:hAnsi="Arial" w:cs="Arial"/>
          <w:color w:val="auto"/>
          <w:sz w:val="22"/>
          <w:szCs w:val="22"/>
        </w:rPr>
        <w:t xml:space="preserve"> del Centro.</w:t>
      </w:r>
      <w:r w:rsidRPr="007A51C0">
        <w:rPr>
          <w:rFonts w:ascii="Arial" w:hAnsi="Arial" w:cs="Arial"/>
          <w:color w:val="auto"/>
          <w:sz w:val="22"/>
          <w:szCs w:val="22"/>
        </w:rPr>
        <w:t xml:space="preserve"> Nei comuni centro</w:t>
      </w:r>
      <w:r>
        <w:rPr>
          <w:rFonts w:ascii="Arial" w:hAnsi="Arial" w:cs="Arial"/>
          <w:color w:val="auto"/>
          <w:sz w:val="22"/>
          <w:szCs w:val="22"/>
        </w:rPr>
        <w:t xml:space="preserve"> </w:t>
      </w:r>
      <w:r w:rsidRPr="007A51C0">
        <w:rPr>
          <w:rFonts w:ascii="Arial" w:hAnsi="Arial" w:cs="Arial"/>
          <w:color w:val="auto"/>
          <w:sz w:val="22"/>
          <w:szCs w:val="22"/>
        </w:rPr>
        <w:t>di</w:t>
      </w:r>
      <w:r>
        <w:rPr>
          <w:rFonts w:ascii="Arial" w:hAnsi="Arial" w:cs="Arial"/>
          <w:color w:val="auto"/>
          <w:sz w:val="22"/>
          <w:szCs w:val="22"/>
        </w:rPr>
        <w:t xml:space="preserve"> </w:t>
      </w:r>
      <w:r w:rsidRPr="007A51C0">
        <w:rPr>
          <w:rFonts w:ascii="Arial" w:hAnsi="Arial" w:cs="Arial"/>
          <w:color w:val="auto"/>
          <w:sz w:val="22"/>
          <w:szCs w:val="22"/>
        </w:rPr>
        <w:t>area</w:t>
      </w:r>
      <w:r>
        <w:rPr>
          <w:rFonts w:ascii="Arial" w:hAnsi="Arial" w:cs="Arial"/>
          <w:color w:val="auto"/>
          <w:sz w:val="22"/>
          <w:szCs w:val="22"/>
        </w:rPr>
        <w:t xml:space="preserve"> </w:t>
      </w:r>
      <w:r w:rsidRPr="007A51C0">
        <w:rPr>
          <w:rFonts w:ascii="Arial" w:hAnsi="Arial" w:cs="Arial"/>
          <w:color w:val="auto"/>
          <w:sz w:val="22"/>
          <w:szCs w:val="22"/>
        </w:rPr>
        <w:t>metropolitana la distribuzione delle spese equivalenti è spostata sui quinti più elevati (</w:t>
      </w:r>
      <w:r w:rsidRPr="00ED3AD5">
        <w:rPr>
          <w:rFonts w:ascii="Arial" w:hAnsi="Arial" w:cs="Arial"/>
          <w:color w:val="auto"/>
          <w:sz w:val="22"/>
          <w:szCs w:val="22"/>
        </w:rPr>
        <w:t>32,7%</w:t>
      </w:r>
      <w:r w:rsidRPr="007A51C0">
        <w:rPr>
          <w:rFonts w:ascii="Arial" w:hAnsi="Arial" w:cs="Arial"/>
          <w:color w:val="auto"/>
          <w:sz w:val="22"/>
          <w:szCs w:val="22"/>
        </w:rPr>
        <w:t xml:space="preserve"> delle famiglie nell’ultimo</w:t>
      </w:r>
      <w:r>
        <w:rPr>
          <w:rFonts w:ascii="Arial" w:hAnsi="Arial" w:cs="Arial"/>
          <w:color w:val="auto"/>
          <w:sz w:val="22"/>
          <w:szCs w:val="22"/>
        </w:rPr>
        <w:t xml:space="preserve"> quinto, </w:t>
      </w:r>
      <w:r w:rsidRPr="00ED3AD5">
        <w:rPr>
          <w:rFonts w:ascii="Arial" w:hAnsi="Arial" w:cs="Arial"/>
          <w:color w:val="auto"/>
          <w:sz w:val="22"/>
          <w:szCs w:val="22"/>
        </w:rPr>
        <w:t>15,0%</w:t>
      </w:r>
      <w:r w:rsidRPr="007A51C0">
        <w:rPr>
          <w:rFonts w:ascii="Arial" w:hAnsi="Arial" w:cs="Arial"/>
          <w:color w:val="auto"/>
          <w:sz w:val="22"/>
          <w:szCs w:val="22"/>
        </w:rPr>
        <w:t xml:space="preserve"> nel primo), mentre </w:t>
      </w:r>
      <w:r>
        <w:rPr>
          <w:rFonts w:ascii="Arial" w:hAnsi="Arial" w:cs="Arial"/>
          <w:color w:val="auto"/>
          <w:sz w:val="22"/>
          <w:szCs w:val="22"/>
        </w:rPr>
        <w:t>nelle altre tipologie comunali</w:t>
      </w:r>
      <w:r w:rsidRPr="007A51C0">
        <w:rPr>
          <w:rFonts w:ascii="Arial" w:hAnsi="Arial" w:cs="Arial"/>
          <w:color w:val="auto"/>
          <w:sz w:val="22"/>
          <w:szCs w:val="22"/>
        </w:rPr>
        <w:t xml:space="preserve"> </w:t>
      </w:r>
      <w:r>
        <w:rPr>
          <w:rFonts w:ascii="Arial" w:hAnsi="Arial" w:cs="Arial"/>
          <w:color w:val="auto"/>
          <w:sz w:val="22"/>
          <w:szCs w:val="22"/>
        </w:rPr>
        <w:t xml:space="preserve">la </w:t>
      </w:r>
      <w:r w:rsidRPr="007A51C0">
        <w:rPr>
          <w:rFonts w:ascii="Arial" w:hAnsi="Arial" w:cs="Arial"/>
          <w:color w:val="auto"/>
          <w:sz w:val="22"/>
          <w:szCs w:val="22"/>
        </w:rPr>
        <w:t>distribuzione</w:t>
      </w:r>
      <w:r>
        <w:rPr>
          <w:rFonts w:ascii="Arial" w:hAnsi="Arial" w:cs="Arial"/>
          <w:color w:val="auto"/>
          <w:sz w:val="22"/>
          <w:szCs w:val="22"/>
        </w:rPr>
        <w:t xml:space="preserve"> è più equa (fermo restando che nei comuni più piccoli si è più spesso nel quinto più basso, </w:t>
      </w:r>
      <w:r w:rsidRPr="00ED3AD5">
        <w:rPr>
          <w:rFonts w:ascii="Arial" w:hAnsi="Arial" w:cs="Arial"/>
          <w:color w:val="auto"/>
          <w:sz w:val="22"/>
          <w:szCs w:val="22"/>
        </w:rPr>
        <w:t>22,4%</w:t>
      </w:r>
      <w:r>
        <w:rPr>
          <w:rFonts w:ascii="Arial" w:hAnsi="Arial" w:cs="Arial"/>
          <w:color w:val="auto"/>
          <w:sz w:val="22"/>
          <w:szCs w:val="22"/>
        </w:rPr>
        <w:t xml:space="preserve">, che nel quinto più elevato, </w:t>
      </w:r>
      <w:r w:rsidRPr="00ED3AD5">
        <w:rPr>
          <w:rFonts w:ascii="Arial" w:hAnsi="Arial" w:cs="Arial"/>
          <w:color w:val="auto"/>
          <w:sz w:val="22"/>
          <w:szCs w:val="22"/>
        </w:rPr>
        <w:t>15,3%</w:t>
      </w:r>
      <w:r>
        <w:rPr>
          <w:rFonts w:ascii="Arial" w:hAnsi="Arial" w:cs="Arial"/>
          <w:color w:val="auto"/>
          <w:sz w:val="22"/>
          <w:szCs w:val="22"/>
        </w:rPr>
        <w:t>)</w:t>
      </w:r>
      <w:r w:rsidRPr="007A51C0">
        <w:rPr>
          <w:rFonts w:ascii="Arial" w:hAnsi="Arial" w:cs="Arial"/>
          <w:color w:val="auto"/>
          <w:sz w:val="22"/>
          <w:szCs w:val="22"/>
        </w:rPr>
        <w:t>.</w:t>
      </w:r>
    </w:p>
    <w:p w14:paraId="51560F88" w14:textId="77777777" w:rsidR="006833DB" w:rsidRDefault="006833DB" w:rsidP="00ED3AD5">
      <w:pPr>
        <w:pStyle w:val="Default"/>
        <w:spacing w:after="120"/>
        <w:jc w:val="both"/>
        <w:rPr>
          <w:rFonts w:ascii="Arial" w:hAnsi="Arial" w:cs="Arial"/>
          <w:color w:val="auto"/>
          <w:sz w:val="22"/>
          <w:szCs w:val="22"/>
        </w:rPr>
      </w:pPr>
    </w:p>
    <w:p w14:paraId="53B85D26" w14:textId="0839A09A" w:rsidR="003616E2" w:rsidRDefault="00B80D43" w:rsidP="003616E2">
      <w:pPr>
        <w:pStyle w:val="Default"/>
        <w:spacing w:before="120" w:after="120"/>
        <w:jc w:val="both"/>
        <w:rPr>
          <w:rFonts w:ascii="Arial" w:hAnsi="Arial" w:cs="Arial"/>
          <w:b/>
          <w:color w:val="1F497D" w:themeColor="text2"/>
          <w:sz w:val="26"/>
          <w:szCs w:val="26"/>
        </w:rPr>
      </w:pPr>
      <w:r>
        <w:rPr>
          <w:rFonts w:ascii="Arial" w:hAnsi="Arial" w:cs="Arial"/>
          <w:b/>
          <w:color w:val="1F497D" w:themeColor="text2"/>
          <w:sz w:val="26"/>
          <w:szCs w:val="26"/>
        </w:rPr>
        <w:t>I</w:t>
      </w:r>
      <w:r w:rsidR="00597767">
        <w:rPr>
          <w:rFonts w:ascii="Arial" w:hAnsi="Arial" w:cs="Arial"/>
          <w:b/>
          <w:color w:val="1F497D" w:themeColor="text2"/>
          <w:sz w:val="26"/>
          <w:szCs w:val="26"/>
        </w:rPr>
        <w:t xml:space="preserve">n </w:t>
      </w:r>
      <w:r>
        <w:rPr>
          <w:rFonts w:ascii="Arial" w:hAnsi="Arial" w:cs="Arial"/>
          <w:b/>
          <w:color w:val="1F497D" w:themeColor="text2"/>
          <w:sz w:val="26"/>
          <w:szCs w:val="26"/>
        </w:rPr>
        <w:t xml:space="preserve">deciso </w:t>
      </w:r>
      <w:r w:rsidR="00597767">
        <w:rPr>
          <w:rFonts w:ascii="Arial" w:hAnsi="Arial" w:cs="Arial"/>
          <w:b/>
          <w:color w:val="1F497D" w:themeColor="text2"/>
          <w:sz w:val="26"/>
          <w:szCs w:val="26"/>
        </w:rPr>
        <w:t>calo</w:t>
      </w:r>
      <w:r w:rsidR="003616E2" w:rsidRPr="00EE325C">
        <w:rPr>
          <w:rFonts w:ascii="Arial" w:hAnsi="Arial" w:cs="Arial"/>
          <w:b/>
          <w:color w:val="1F497D" w:themeColor="text2"/>
          <w:sz w:val="26"/>
          <w:szCs w:val="26"/>
        </w:rPr>
        <w:t xml:space="preserve"> </w:t>
      </w:r>
      <w:r>
        <w:rPr>
          <w:rFonts w:ascii="Arial" w:hAnsi="Arial" w:cs="Arial"/>
          <w:b/>
          <w:color w:val="1F497D" w:themeColor="text2"/>
          <w:sz w:val="26"/>
          <w:szCs w:val="26"/>
        </w:rPr>
        <w:t>la spesa per consumi in termini reali</w:t>
      </w:r>
    </w:p>
    <w:p w14:paraId="103953A5" w14:textId="40032494" w:rsidR="00503064" w:rsidRDefault="003616E2" w:rsidP="003616E2">
      <w:pPr>
        <w:pStyle w:val="Default"/>
        <w:spacing w:after="120"/>
        <w:jc w:val="both"/>
        <w:rPr>
          <w:rFonts w:ascii="Arial" w:hAnsi="Arial" w:cs="Arial"/>
          <w:color w:val="auto"/>
          <w:sz w:val="22"/>
          <w:szCs w:val="22"/>
        </w:rPr>
      </w:pPr>
      <w:r>
        <w:rPr>
          <w:rFonts w:ascii="Arial" w:hAnsi="Arial" w:cs="Arial"/>
          <w:color w:val="auto"/>
          <w:sz w:val="22"/>
          <w:szCs w:val="22"/>
        </w:rPr>
        <w:t xml:space="preserve">Tra il 2013 e il 2017, contestualmente all’aumento della disuguaglianza, si era registrata anche una </w:t>
      </w:r>
      <w:r w:rsidRPr="007A51C0">
        <w:rPr>
          <w:rFonts w:ascii="Arial" w:hAnsi="Arial" w:cs="Arial"/>
          <w:color w:val="auto"/>
          <w:sz w:val="22"/>
          <w:szCs w:val="22"/>
        </w:rPr>
        <w:t>moderata dinamica positiva delle spese per consum</w:t>
      </w:r>
      <w:r>
        <w:rPr>
          <w:rFonts w:ascii="Arial" w:hAnsi="Arial" w:cs="Arial"/>
          <w:color w:val="auto"/>
          <w:sz w:val="22"/>
          <w:szCs w:val="22"/>
        </w:rPr>
        <w:t xml:space="preserve">i </w:t>
      </w:r>
      <w:r w:rsidR="001A79CE">
        <w:rPr>
          <w:rFonts w:ascii="Arial" w:hAnsi="Arial" w:cs="Arial"/>
          <w:color w:val="auto"/>
          <w:sz w:val="22"/>
          <w:szCs w:val="22"/>
        </w:rPr>
        <w:t xml:space="preserve">equivalenti </w:t>
      </w:r>
      <w:r w:rsidRPr="007A51C0">
        <w:rPr>
          <w:rFonts w:ascii="Arial" w:hAnsi="Arial" w:cs="Arial"/>
          <w:color w:val="auto"/>
          <w:sz w:val="22"/>
          <w:szCs w:val="22"/>
        </w:rPr>
        <w:t>in termini reali</w:t>
      </w:r>
      <w:r>
        <w:rPr>
          <w:rFonts w:ascii="Arial" w:hAnsi="Arial" w:cs="Arial"/>
          <w:color w:val="auto"/>
          <w:sz w:val="22"/>
          <w:szCs w:val="22"/>
        </w:rPr>
        <w:t xml:space="preserve"> (a prezzi costanti con base 2013). Nel 2018 e </w:t>
      </w:r>
      <w:r w:rsidR="00B80D43">
        <w:rPr>
          <w:rFonts w:ascii="Arial" w:hAnsi="Arial" w:cs="Arial"/>
          <w:color w:val="auto"/>
          <w:sz w:val="22"/>
          <w:szCs w:val="22"/>
        </w:rPr>
        <w:t xml:space="preserve">nel </w:t>
      </w:r>
      <w:r>
        <w:rPr>
          <w:rFonts w:ascii="Arial" w:hAnsi="Arial" w:cs="Arial"/>
          <w:color w:val="auto"/>
          <w:sz w:val="22"/>
          <w:szCs w:val="22"/>
        </w:rPr>
        <w:t>2019 entrambi i trend si erano invertiti, e nel 2020, insieme all</w:t>
      </w:r>
      <w:r w:rsidR="00503064">
        <w:rPr>
          <w:rFonts w:ascii="Arial" w:hAnsi="Arial" w:cs="Arial"/>
          <w:color w:val="auto"/>
          <w:sz w:val="22"/>
          <w:szCs w:val="22"/>
        </w:rPr>
        <w:t>’</w:t>
      </w:r>
      <w:r>
        <w:rPr>
          <w:rFonts w:ascii="Arial" w:hAnsi="Arial" w:cs="Arial"/>
          <w:color w:val="auto"/>
          <w:sz w:val="22"/>
          <w:szCs w:val="22"/>
        </w:rPr>
        <w:t xml:space="preserve">ulteriore, seppur leggera, diminuzione della disuguaglianza, si verifica un vero e proprio crollo dei consumi reali, in linea con il crollo delle spese </w:t>
      </w:r>
      <w:r w:rsidR="001A79CE">
        <w:rPr>
          <w:rFonts w:ascii="Arial" w:hAnsi="Arial" w:cs="Arial"/>
          <w:color w:val="auto"/>
          <w:sz w:val="22"/>
          <w:szCs w:val="22"/>
        </w:rPr>
        <w:t xml:space="preserve">equivalenti </w:t>
      </w:r>
      <w:r>
        <w:rPr>
          <w:rFonts w:ascii="Arial" w:hAnsi="Arial" w:cs="Arial"/>
          <w:color w:val="auto"/>
          <w:sz w:val="22"/>
          <w:szCs w:val="22"/>
        </w:rPr>
        <w:t xml:space="preserve">in termini correnti: </w:t>
      </w:r>
      <w:r w:rsidRPr="00703F1F">
        <w:rPr>
          <w:rFonts w:ascii="Arial" w:hAnsi="Arial" w:cs="Arial"/>
          <w:color w:val="auto"/>
          <w:sz w:val="22"/>
          <w:szCs w:val="22"/>
        </w:rPr>
        <w:t>la dinamica inflazionistica (calcolata sull’indice armonizzato dei prezzi al consumo IPCA</w:t>
      </w:r>
      <w:r w:rsidR="006E5B71">
        <w:rPr>
          <w:rFonts w:ascii="Arial" w:hAnsi="Arial" w:cs="Arial"/>
          <w:color w:val="auto"/>
          <w:sz w:val="22"/>
          <w:szCs w:val="22"/>
        </w:rPr>
        <w:t>, per il quale viene stimato l’impatto sulle famiglie raggruppate in quinti di spesa crescente</w:t>
      </w:r>
      <w:r w:rsidRPr="00703F1F">
        <w:rPr>
          <w:rFonts w:ascii="Arial" w:hAnsi="Arial" w:cs="Arial"/>
          <w:color w:val="auto"/>
          <w:sz w:val="22"/>
          <w:szCs w:val="22"/>
        </w:rPr>
        <w:t>)</w:t>
      </w:r>
      <w:r>
        <w:rPr>
          <w:rFonts w:ascii="Arial" w:hAnsi="Arial" w:cs="Arial"/>
          <w:color w:val="auto"/>
          <w:sz w:val="22"/>
          <w:szCs w:val="22"/>
        </w:rPr>
        <w:t xml:space="preserve">, è </w:t>
      </w:r>
      <w:r w:rsidR="006E5B71">
        <w:rPr>
          <w:rFonts w:ascii="Arial" w:hAnsi="Arial" w:cs="Arial"/>
          <w:color w:val="auto"/>
          <w:sz w:val="22"/>
          <w:szCs w:val="22"/>
        </w:rPr>
        <w:t>pari a -0</w:t>
      </w:r>
      <w:r w:rsidR="00421991">
        <w:rPr>
          <w:rFonts w:ascii="Arial" w:hAnsi="Arial" w:cs="Arial"/>
          <w:color w:val="auto"/>
          <w:sz w:val="22"/>
          <w:szCs w:val="22"/>
        </w:rPr>
        <w:t>,</w:t>
      </w:r>
      <w:r w:rsidR="006E5B71">
        <w:rPr>
          <w:rFonts w:ascii="Arial" w:hAnsi="Arial" w:cs="Arial"/>
          <w:color w:val="auto"/>
          <w:sz w:val="22"/>
          <w:szCs w:val="22"/>
        </w:rPr>
        <w:t>1%</w:t>
      </w:r>
      <w:r>
        <w:rPr>
          <w:rFonts w:ascii="Arial" w:hAnsi="Arial" w:cs="Arial"/>
          <w:color w:val="auto"/>
          <w:sz w:val="22"/>
          <w:szCs w:val="22"/>
        </w:rPr>
        <w:t xml:space="preserve">, con leggere differenze a seconda delle </w:t>
      </w:r>
      <w:r w:rsidRPr="00703F1F">
        <w:rPr>
          <w:rFonts w:ascii="Arial" w:hAnsi="Arial" w:cs="Arial"/>
          <w:color w:val="auto"/>
          <w:sz w:val="22"/>
          <w:szCs w:val="22"/>
        </w:rPr>
        <w:t>classi di spesa delle famiglie</w:t>
      </w:r>
      <w:r>
        <w:rPr>
          <w:rFonts w:ascii="Arial" w:hAnsi="Arial" w:cs="Arial"/>
          <w:color w:val="auto"/>
          <w:sz w:val="22"/>
          <w:szCs w:val="22"/>
        </w:rPr>
        <w:t xml:space="preserve"> (dal -0,4% per le famiglie del primo quinto al +0,1% per le famiglie dell’ultimo quinto). </w:t>
      </w:r>
      <w:r w:rsidR="00D00D0F">
        <w:rPr>
          <w:rFonts w:ascii="Arial" w:hAnsi="Arial" w:cs="Arial"/>
          <w:color w:val="auto"/>
          <w:sz w:val="22"/>
          <w:szCs w:val="22"/>
        </w:rPr>
        <w:t xml:space="preserve"> </w:t>
      </w:r>
    </w:p>
    <w:p w14:paraId="5F7BB610" w14:textId="77777777" w:rsidR="00503064" w:rsidRDefault="003616E2" w:rsidP="003616E2">
      <w:pPr>
        <w:pStyle w:val="Default"/>
        <w:spacing w:after="120"/>
        <w:jc w:val="both"/>
        <w:rPr>
          <w:rFonts w:ascii="Arial" w:hAnsi="Arial" w:cs="Arial"/>
          <w:color w:val="auto"/>
          <w:sz w:val="22"/>
          <w:szCs w:val="22"/>
        </w:rPr>
      </w:pPr>
      <w:r>
        <w:rPr>
          <w:rFonts w:ascii="Arial" w:hAnsi="Arial" w:cs="Arial"/>
          <w:color w:val="auto"/>
          <w:sz w:val="22"/>
          <w:szCs w:val="22"/>
        </w:rPr>
        <w:t>L</w:t>
      </w:r>
      <w:r w:rsidRPr="00703F1F">
        <w:rPr>
          <w:rFonts w:ascii="Arial" w:hAnsi="Arial" w:cs="Arial"/>
          <w:color w:val="auto"/>
          <w:sz w:val="22"/>
          <w:szCs w:val="22"/>
        </w:rPr>
        <w:t>a spesa media</w:t>
      </w:r>
      <w:r>
        <w:rPr>
          <w:rFonts w:ascii="Arial" w:hAnsi="Arial" w:cs="Arial"/>
          <w:color w:val="auto"/>
          <w:sz w:val="22"/>
          <w:szCs w:val="22"/>
        </w:rPr>
        <w:t xml:space="preserve"> equivalente </w:t>
      </w:r>
      <w:r w:rsidRPr="00703F1F">
        <w:rPr>
          <w:rFonts w:ascii="Arial" w:hAnsi="Arial" w:cs="Arial"/>
          <w:color w:val="auto"/>
          <w:sz w:val="22"/>
          <w:szCs w:val="22"/>
        </w:rPr>
        <w:t>nazionale</w:t>
      </w:r>
      <w:r w:rsidR="00503064">
        <w:rPr>
          <w:rFonts w:ascii="Arial" w:hAnsi="Arial" w:cs="Arial"/>
          <w:color w:val="auto"/>
          <w:sz w:val="22"/>
          <w:szCs w:val="22"/>
        </w:rPr>
        <w:t xml:space="preserve"> in termini reali</w:t>
      </w:r>
      <w:r w:rsidRPr="00703F1F">
        <w:rPr>
          <w:rFonts w:ascii="Arial" w:hAnsi="Arial" w:cs="Arial"/>
          <w:color w:val="auto"/>
          <w:sz w:val="22"/>
          <w:szCs w:val="22"/>
        </w:rPr>
        <w:t xml:space="preserve"> </w:t>
      </w:r>
      <w:r>
        <w:rPr>
          <w:rFonts w:ascii="Arial" w:hAnsi="Arial" w:cs="Arial"/>
          <w:color w:val="auto"/>
          <w:sz w:val="22"/>
          <w:szCs w:val="22"/>
        </w:rPr>
        <w:t>scende</w:t>
      </w:r>
      <w:r w:rsidRPr="00703F1F">
        <w:rPr>
          <w:rFonts w:ascii="Arial" w:hAnsi="Arial" w:cs="Arial"/>
          <w:color w:val="auto"/>
          <w:sz w:val="22"/>
          <w:szCs w:val="22"/>
        </w:rPr>
        <w:t xml:space="preserve"> dell’</w:t>
      </w:r>
      <w:r>
        <w:rPr>
          <w:rFonts w:ascii="Arial" w:hAnsi="Arial" w:cs="Arial"/>
          <w:color w:val="auto"/>
          <w:sz w:val="22"/>
          <w:szCs w:val="22"/>
        </w:rPr>
        <w:t>8</w:t>
      </w:r>
      <w:r w:rsidRPr="00703F1F">
        <w:rPr>
          <w:rFonts w:ascii="Arial" w:hAnsi="Arial" w:cs="Arial"/>
          <w:color w:val="auto"/>
          <w:sz w:val="22"/>
          <w:szCs w:val="22"/>
        </w:rPr>
        <w:t>,</w:t>
      </w:r>
      <w:r>
        <w:rPr>
          <w:rFonts w:ascii="Arial" w:hAnsi="Arial" w:cs="Arial"/>
          <w:color w:val="auto"/>
          <w:sz w:val="22"/>
          <w:szCs w:val="22"/>
        </w:rPr>
        <w:t>1</w:t>
      </w:r>
      <w:r w:rsidRPr="00703F1F">
        <w:rPr>
          <w:rFonts w:ascii="Arial" w:hAnsi="Arial" w:cs="Arial"/>
          <w:color w:val="auto"/>
          <w:sz w:val="22"/>
          <w:szCs w:val="22"/>
        </w:rPr>
        <w:t>%</w:t>
      </w:r>
      <w:r>
        <w:rPr>
          <w:rFonts w:ascii="Arial" w:hAnsi="Arial" w:cs="Arial"/>
          <w:color w:val="auto"/>
          <w:sz w:val="22"/>
          <w:szCs w:val="22"/>
        </w:rPr>
        <w:t xml:space="preserve"> </w:t>
      </w:r>
      <w:r w:rsidRPr="00703F1F">
        <w:rPr>
          <w:rFonts w:ascii="Arial" w:hAnsi="Arial" w:cs="Arial"/>
          <w:color w:val="auto"/>
          <w:sz w:val="22"/>
          <w:szCs w:val="22"/>
        </w:rPr>
        <w:t>rispetto al 201</w:t>
      </w:r>
      <w:r>
        <w:rPr>
          <w:rFonts w:ascii="Arial" w:hAnsi="Arial" w:cs="Arial"/>
          <w:color w:val="auto"/>
          <w:sz w:val="22"/>
          <w:szCs w:val="22"/>
        </w:rPr>
        <w:t xml:space="preserve">9, e solo le </w:t>
      </w:r>
      <w:r w:rsidRPr="007A51C0">
        <w:rPr>
          <w:rFonts w:ascii="Arial" w:hAnsi="Arial" w:cs="Arial"/>
          <w:color w:val="auto"/>
          <w:sz w:val="22"/>
          <w:szCs w:val="22"/>
        </w:rPr>
        <w:t xml:space="preserve">famiglie appartenenti al primo quinto </w:t>
      </w:r>
      <w:r>
        <w:rPr>
          <w:rFonts w:ascii="Arial" w:hAnsi="Arial" w:cs="Arial"/>
          <w:color w:val="auto"/>
          <w:sz w:val="22"/>
          <w:szCs w:val="22"/>
        </w:rPr>
        <w:t>contengono il calo al -3,8% (in parte per una maggior tenuta delle spese correnti e in parte per la loro inflazione specifica negativa). Tutte le altre famiglie mostrano cali più consistenti, dal -7,8% dell’ultimo quinto al -9,2% del terzo.</w:t>
      </w:r>
      <w:r w:rsidR="004C365C">
        <w:rPr>
          <w:rFonts w:ascii="Arial" w:hAnsi="Arial" w:cs="Arial"/>
          <w:color w:val="auto"/>
          <w:sz w:val="22"/>
          <w:szCs w:val="22"/>
        </w:rPr>
        <w:t xml:space="preserve"> </w:t>
      </w:r>
    </w:p>
    <w:p w14:paraId="3788FCAB" w14:textId="2CAAADD7" w:rsidR="003616E2" w:rsidRDefault="004C365C" w:rsidP="003616E2">
      <w:pPr>
        <w:pStyle w:val="Default"/>
        <w:spacing w:after="120"/>
        <w:jc w:val="both"/>
        <w:rPr>
          <w:rFonts w:ascii="Arial" w:hAnsi="Arial" w:cs="Arial"/>
          <w:color w:val="auto"/>
          <w:sz w:val="22"/>
          <w:szCs w:val="22"/>
        </w:rPr>
      </w:pPr>
      <w:r>
        <w:rPr>
          <w:rFonts w:ascii="Arial" w:hAnsi="Arial" w:cs="Arial"/>
          <w:color w:val="auto"/>
          <w:sz w:val="22"/>
          <w:szCs w:val="22"/>
        </w:rPr>
        <w:t>Estendendo l’analisi</w:t>
      </w:r>
      <w:r w:rsidR="006833DB">
        <w:rPr>
          <w:rFonts w:ascii="Arial" w:hAnsi="Arial" w:cs="Arial"/>
          <w:color w:val="auto"/>
          <w:sz w:val="22"/>
          <w:szCs w:val="22"/>
        </w:rPr>
        <w:t xml:space="preserve"> fino</w:t>
      </w:r>
      <w:r>
        <w:rPr>
          <w:rFonts w:ascii="Arial" w:hAnsi="Arial" w:cs="Arial"/>
          <w:color w:val="auto"/>
          <w:sz w:val="22"/>
          <w:szCs w:val="22"/>
        </w:rPr>
        <w:t xml:space="preserve"> al 2013, l’andamento dell’intero periodo è quasi completamente determinato da quanto avvenuto nell’ultimo anno e dal fatto che, fino al 2019, </w:t>
      </w:r>
      <w:r w:rsidRPr="007A51C0">
        <w:rPr>
          <w:rFonts w:ascii="Arial" w:hAnsi="Arial" w:cs="Arial"/>
          <w:color w:val="auto"/>
          <w:sz w:val="22"/>
          <w:szCs w:val="22"/>
        </w:rPr>
        <w:t xml:space="preserve">la </w:t>
      </w:r>
      <w:r>
        <w:rPr>
          <w:rFonts w:ascii="Arial" w:hAnsi="Arial" w:cs="Arial"/>
          <w:color w:val="auto"/>
          <w:sz w:val="22"/>
          <w:szCs w:val="22"/>
        </w:rPr>
        <w:t xml:space="preserve">complessiva </w:t>
      </w:r>
      <w:r w:rsidRPr="007A51C0">
        <w:rPr>
          <w:rFonts w:ascii="Arial" w:hAnsi="Arial" w:cs="Arial"/>
          <w:color w:val="auto"/>
          <w:sz w:val="22"/>
          <w:szCs w:val="22"/>
        </w:rPr>
        <w:t xml:space="preserve">moderata dinamica positiva delle spese equivalenti in termini reali </w:t>
      </w:r>
      <w:r>
        <w:rPr>
          <w:rFonts w:ascii="Arial" w:hAnsi="Arial" w:cs="Arial"/>
          <w:color w:val="auto"/>
          <w:sz w:val="22"/>
          <w:szCs w:val="22"/>
        </w:rPr>
        <w:t xml:space="preserve">era invece stata </w:t>
      </w:r>
      <w:r w:rsidRPr="007A51C0">
        <w:rPr>
          <w:rFonts w:ascii="Arial" w:hAnsi="Arial" w:cs="Arial"/>
          <w:color w:val="auto"/>
          <w:sz w:val="22"/>
          <w:szCs w:val="22"/>
        </w:rPr>
        <w:t>in larga misura determinata dalle famiglie con maggiore capacità di spesa</w:t>
      </w:r>
      <w:r>
        <w:rPr>
          <w:rFonts w:ascii="Arial" w:hAnsi="Arial" w:cs="Arial"/>
          <w:color w:val="auto"/>
          <w:sz w:val="22"/>
          <w:szCs w:val="22"/>
        </w:rPr>
        <w:t xml:space="preserve"> (ultimo quinto). Le famiglie del primo quinto </w:t>
      </w:r>
      <w:proofErr w:type="gramStart"/>
      <w:r>
        <w:rPr>
          <w:rFonts w:ascii="Arial" w:hAnsi="Arial" w:cs="Arial"/>
          <w:color w:val="auto"/>
          <w:sz w:val="22"/>
          <w:szCs w:val="22"/>
        </w:rPr>
        <w:t>hanno</w:t>
      </w:r>
      <w:proofErr w:type="gramEnd"/>
      <w:r>
        <w:rPr>
          <w:rFonts w:ascii="Arial" w:hAnsi="Arial" w:cs="Arial"/>
          <w:color w:val="auto"/>
          <w:sz w:val="22"/>
          <w:szCs w:val="22"/>
        </w:rPr>
        <w:t xml:space="preserve"> infatti, nel 2020, un calo complessivo del 4,5%, e quelle dell’ultimo del 5,0%, mentre i quinti centrali registrano cali decisamente più consistenti: -7,3% il secondo, -8,3% il terzo e -9,0% il quarto. Complessivamente, la spesa media equivalente in termini reali scende del 6,9% rispetto al 2013.</w:t>
      </w:r>
    </w:p>
    <w:p w14:paraId="0FD4ED8D" w14:textId="5BA00FB4" w:rsidR="00503064" w:rsidRPr="006833DB" w:rsidRDefault="00503064" w:rsidP="00555071">
      <w:pPr>
        <w:pStyle w:val="Default"/>
        <w:spacing w:after="120"/>
        <w:jc w:val="both"/>
        <w:rPr>
          <w:rFonts w:ascii="Arial" w:hAnsi="Arial" w:cs="Arial"/>
          <w:color w:val="auto"/>
          <w:sz w:val="22"/>
          <w:szCs w:val="22"/>
        </w:rPr>
      </w:pPr>
    </w:p>
    <w:p w14:paraId="26874781" w14:textId="03E8D21D" w:rsidR="006833DB" w:rsidRDefault="006833DB" w:rsidP="00555071">
      <w:pPr>
        <w:pStyle w:val="Default"/>
        <w:spacing w:after="120"/>
        <w:jc w:val="both"/>
        <w:rPr>
          <w:rFonts w:ascii="Arial" w:hAnsi="Arial" w:cs="Arial"/>
          <w:color w:val="auto"/>
          <w:sz w:val="22"/>
          <w:szCs w:val="22"/>
        </w:rPr>
      </w:pPr>
    </w:p>
    <w:p w14:paraId="15D15CE8" w14:textId="3719600B" w:rsidR="006833DB" w:rsidRDefault="006833DB" w:rsidP="00555071">
      <w:pPr>
        <w:pStyle w:val="Default"/>
        <w:spacing w:after="120"/>
        <w:jc w:val="both"/>
        <w:rPr>
          <w:rFonts w:ascii="Arial" w:hAnsi="Arial" w:cs="Arial"/>
          <w:color w:val="auto"/>
          <w:sz w:val="22"/>
          <w:szCs w:val="22"/>
        </w:rPr>
      </w:pPr>
    </w:p>
    <w:p w14:paraId="63865E69" w14:textId="77777777" w:rsidR="006833DB" w:rsidRPr="00DF7F31" w:rsidRDefault="006833DB" w:rsidP="00555071">
      <w:pPr>
        <w:pStyle w:val="Default"/>
        <w:spacing w:after="120"/>
        <w:jc w:val="both"/>
        <w:rPr>
          <w:rFonts w:ascii="Arial" w:hAnsi="Arial" w:cs="Arial"/>
          <w:color w:val="auto"/>
          <w:sz w:val="14"/>
          <w:szCs w:val="14"/>
        </w:rPr>
      </w:pPr>
    </w:p>
    <w:p w14:paraId="45E36BCD" w14:textId="3C5C78D3" w:rsidR="009F0A8C" w:rsidRDefault="008659BD" w:rsidP="00DF7F31">
      <w:pPr>
        <w:pStyle w:val="Default"/>
        <w:spacing w:after="120"/>
        <w:jc w:val="both"/>
        <w:rPr>
          <w:rFonts w:ascii="Arial Narrow" w:hAnsi="Arial Narrow"/>
          <w:iCs/>
          <w:noProof/>
          <w:color w:val="1F497D" w:themeColor="text2"/>
          <w:sz w:val="22"/>
          <w:szCs w:val="22"/>
        </w:rPr>
      </w:pPr>
      <w:r>
        <w:rPr>
          <w:rFonts w:ascii="Arial Black" w:hAnsi="Arial Black" w:cs="Arial"/>
          <w:b/>
          <w:iCs/>
          <w:noProof/>
          <w:color w:val="1F497D" w:themeColor="text2"/>
          <w:sz w:val="22"/>
          <w:szCs w:val="22"/>
        </w:rPr>
        <w:t xml:space="preserve">FIGURA </w:t>
      </w:r>
      <w:r w:rsidR="00E93DA9">
        <w:rPr>
          <w:rFonts w:ascii="Arial Black" w:hAnsi="Arial Black" w:cs="Arial"/>
          <w:b/>
          <w:iCs/>
          <w:noProof/>
          <w:color w:val="1F497D" w:themeColor="text2"/>
          <w:sz w:val="22"/>
          <w:szCs w:val="22"/>
        </w:rPr>
        <w:t>8</w:t>
      </w:r>
      <w:r w:rsidR="00672170">
        <w:rPr>
          <w:rFonts w:ascii="Arial Black" w:hAnsi="Arial Black" w:cs="Arial"/>
          <w:b/>
          <w:iCs/>
          <w:noProof/>
          <w:color w:val="1F497D" w:themeColor="text2"/>
          <w:sz w:val="22"/>
          <w:szCs w:val="22"/>
        </w:rPr>
        <w:t>.</w:t>
      </w:r>
      <w:r>
        <w:rPr>
          <w:rFonts w:ascii="Arial Black" w:hAnsi="Arial Black" w:cs="Arial"/>
          <w:b/>
          <w:iCs/>
          <w:noProof/>
          <w:color w:val="1F497D" w:themeColor="text2"/>
          <w:sz w:val="22"/>
          <w:szCs w:val="22"/>
        </w:rPr>
        <w:t xml:space="preserve"> </w:t>
      </w:r>
      <w:r w:rsidR="003E1F84" w:rsidRPr="003E1F84">
        <w:rPr>
          <w:rFonts w:ascii="Arial Narrow" w:hAnsi="Arial Narrow" w:cs="Arial"/>
          <w:b/>
          <w:iCs/>
          <w:noProof/>
          <w:color w:val="1F497D" w:themeColor="text2"/>
          <w:sz w:val="22"/>
          <w:szCs w:val="22"/>
        </w:rPr>
        <w:t>SPESA FAMILIARE EQUIVALENTE PER FAMIGLIE ORDINATE IN QUINTI</w:t>
      </w:r>
      <w:r w:rsidR="00B12669">
        <w:rPr>
          <w:rFonts w:ascii="Arial Narrow" w:hAnsi="Arial Narrow" w:cs="Arial"/>
          <w:b/>
          <w:iCs/>
          <w:noProof/>
          <w:color w:val="1F497D" w:themeColor="text2"/>
          <w:sz w:val="22"/>
          <w:szCs w:val="22"/>
        </w:rPr>
        <w:t xml:space="preserve"> </w:t>
      </w:r>
      <w:r w:rsidR="00B12669" w:rsidRPr="00555071">
        <w:rPr>
          <w:rFonts w:ascii="Arial Narrow" w:hAnsi="Arial Narrow" w:cs="Arial"/>
          <w:iCs/>
          <w:noProof/>
          <w:color w:val="1F497D" w:themeColor="text2"/>
          <w:sz w:val="22"/>
          <w:szCs w:val="22"/>
        </w:rPr>
        <w:t>(a)</w:t>
      </w:r>
      <w:r w:rsidR="003E1F84" w:rsidRPr="003E1F84">
        <w:rPr>
          <w:rFonts w:ascii="Arial Narrow" w:hAnsi="Arial Narrow" w:cs="Arial"/>
          <w:b/>
          <w:iCs/>
          <w:noProof/>
          <w:color w:val="1F497D" w:themeColor="text2"/>
          <w:sz w:val="22"/>
          <w:szCs w:val="22"/>
        </w:rPr>
        <w:t>, A PREZZI CORRENTI E A PREZZI COSTANTI.</w:t>
      </w:r>
      <w:r w:rsidR="00F43381">
        <w:rPr>
          <w:rFonts w:ascii="Arial Narrow" w:hAnsi="Arial Narrow" w:cs="Arial"/>
          <w:b/>
          <w:iCs/>
          <w:noProof/>
          <w:color w:val="1F497D" w:themeColor="text2"/>
          <w:sz w:val="22"/>
          <w:szCs w:val="22"/>
        </w:rPr>
        <w:t xml:space="preserve"> </w:t>
      </w:r>
      <w:r w:rsidR="00F2412C" w:rsidRPr="006D1F78">
        <w:rPr>
          <w:rFonts w:ascii="Arial Narrow" w:hAnsi="Arial Narrow"/>
          <w:iCs/>
          <w:noProof/>
          <w:color w:val="1F497D" w:themeColor="text2"/>
          <w:sz w:val="22"/>
          <w:szCs w:val="22"/>
        </w:rPr>
        <w:t>Ann</w:t>
      </w:r>
      <w:r w:rsidR="00A76334" w:rsidRPr="006D1F78">
        <w:rPr>
          <w:rFonts w:ascii="Arial Narrow" w:hAnsi="Arial Narrow"/>
          <w:iCs/>
          <w:noProof/>
          <w:color w:val="1F497D" w:themeColor="text2"/>
          <w:sz w:val="22"/>
          <w:szCs w:val="22"/>
        </w:rPr>
        <w:t>i 2013-</w:t>
      </w:r>
      <w:r w:rsidR="00C70D65">
        <w:rPr>
          <w:rFonts w:ascii="Arial Narrow" w:hAnsi="Arial Narrow"/>
          <w:iCs/>
          <w:noProof/>
          <w:color w:val="1F497D" w:themeColor="text2"/>
          <w:sz w:val="22"/>
          <w:szCs w:val="22"/>
        </w:rPr>
        <w:t>2020</w:t>
      </w:r>
      <w:r w:rsidR="003E1F84" w:rsidRPr="006D1F78">
        <w:rPr>
          <w:rFonts w:ascii="Arial Narrow" w:hAnsi="Arial Narrow"/>
          <w:iCs/>
          <w:noProof/>
          <w:color w:val="1F497D" w:themeColor="text2"/>
          <w:sz w:val="22"/>
          <w:szCs w:val="22"/>
        </w:rPr>
        <w:t xml:space="preserve"> (</w:t>
      </w:r>
      <w:r w:rsidR="008B3B9A">
        <w:rPr>
          <w:rFonts w:ascii="Arial Narrow" w:hAnsi="Arial Narrow"/>
          <w:iCs/>
          <w:noProof/>
          <w:color w:val="1F497D" w:themeColor="text2"/>
          <w:sz w:val="22"/>
          <w:szCs w:val="22"/>
        </w:rPr>
        <w:t xml:space="preserve">indici, </w:t>
      </w:r>
      <w:r w:rsidR="003E1F84" w:rsidRPr="006D1F78">
        <w:rPr>
          <w:rFonts w:ascii="Arial Narrow" w:hAnsi="Arial Narrow"/>
          <w:iCs/>
          <w:noProof/>
          <w:color w:val="1F497D" w:themeColor="text2"/>
          <w:sz w:val="22"/>
          <w:szCs w:val="22"/>
        </w:rPr>
        <w:t>base 2013=100)</w:t>
      </w:r>
    </w:p>
    <w:p w14:paraId="14505161" w14:textId="42941C7B" w:rsidR="000E3B69" w:rsidRDefault="001511AE" w:rsidP="009F0A8C">
      <w:pPr>
        <w:pStyle w:val="Default"/>
        <w:spacing w:after="120"/>
        <w:jc w:val="both"/>
        <w:rPr>
          <w:rFonts w:ascii="Arial" w:hAnsi="Arial" w:cs="Arial"/>
          <w:color w:val="auto"/>
          <w:sz w:val="22"/>
          <w:szCs w:val="22"/>
        </w:rPr>
      </w:pPr>
      <w:r>
        <w:rPr>
          <w:noProof/>
        </w:rPr>
        <mc:AlternateContent>
          <mc:Choice Requires="wpg">
            <w:drawing>
              <wp:anchor distT="0" distB="0" distL="114300" distR="114300" simplePos="0" relativeHeight="251726848" behindDoc="0" locked="0" layoutInCell="1" allowOverlap="1" wp14:anchorId="36BA95F3" wp14:editId="349B8081">
                <wp:simplePos x="0" y="0"/>
                <wp:positionH relativeFrom="column">
                  <wp:posOffset>69795</wp:posOffset>
                </wp:positionH>
                <wp:positionV relativeFrom="paragraph">
                  <wp:posOffset>84372</wp:posOffset>
                </wp:positionV>
                <wp:extent cx="6300028" cy="2288071"/>
                <wp:effectExtent l="0" t="0" r="0" b="0"/>
                <wp:wrapNone/>
                <wp:docPr id="56" name="Gruppo 5"/>
                <wp:cNvGraphicFramePr/>
                <a:graphic xmlns:a="http://schemas.openxmlformats.org/drawingml/2006/main">
                  <a:graphicData uri="http://schemas.microsoft.com/office/word/2010/wordprocessingGroup">
                    <wpg:wgp>
                      <wpg:cNvGrpSpPr/>
                      <wpg:grpSpPr>
                        <a:xfrm>
                          <a:off x="0" y="0"/>
                          <a:ext cx="6300028" cy="2288071"/>
                          <a:chOff x="0" y="0"/>
                          <a:chExt cx="9705294" cy="2520001"/>
                        </a:xfrm>
                      </wpg:grpSpPr>
                      <wpg:graphicFrame>
                        <wpg:cNvPr id="57" name="Grafico 57"/>
                        <wpg:cNvFrPr/>
                        <wpg:xfrm>
                          <a:off x="0" y="0"/>
                          <a:ext cx="4849742" cy="252000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58" name="Grafico 58"/>
                        <wpg:cNvFrPr/>
                        <wpg:xfrm>
                          <a:off x="4857017" y="1"/>
                          <a:ext cx="4848277" cy="2520000"/>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14:sizeRelV relativeFrom="margin">
                  <wp14:pctHeight>0</wp14:pctHeight>
                </wp14:sizeRelV>
              </wp:anchor>
            </w:drawing>
          </mc:Choice>
          <mc:Fallback>
            <w:pict>
              <v:group w14:anchorId="2A8C8E76" id="Gruppo 5" o:spid="_x0000_s1026" style="position:absolute;margin-left:5.5pt;margin-top:6.65pt;width:496.05pt;height:180.15pt;z-index:251726848;mso-width-relative:margin;mso-height-relative:margin" coordsize="97052,2520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">
                <v:shape id="Grafico 57" o:spid="_x0000_s1027" type="#_x0000_t75" style="position:absolute;left:375;top:469;width:47331;height:23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">
                  <v:imagedata r:id="rId28" o:title=""/>
                  <o:lock v:ext="edit" aspectratio="f"/>
                </v:shape>
                <v:shape id="Grafico 58" o:spid="_x0000_s1028" type="#_x0000_t75" style="position:absolute;left:48739;top:469;width:46955;height:23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">
                  <v:imagedata r:id="rId29" o:title=""/>
                  <o:lock v:ext="edit" aspectratio="f"/>
                </v:shape>
              </v:group>
            </w:pict>
          </mc:Fallback>
        </mc:AlternateContent>
      </w:r>
    </w:p>
    <w:p w14:paraId="37C5236F" w14:textId="702FECE2" w:rsidR="004D69DC" w:rsidRPr="00205AAA" w:rsidRDefault="004D69DC" w:rsidP="009F0A8C">
      <w:pPr>
        <w:pStyle w:val="Default"/>
        <w:spacing w:after="120"/>
        <w:jc w:val="both"/>
        <w:rPr>
          <w:rFonts w:ascii="Arial" w:hAnsi="Arial" w:cs="Arial"/>
          <w:color w:val="auto"/>
          <w:sz w:val="22"/>
          <w:szCs w:val="22"/>
        </w:rPr>
      </w:pPr>
    </w:p>
    <w:p w14:paraId="20ED1951" w14:textId="5A5CBB9D" w:rsidR="004D69DC" w:rsidRDefault="004D69DC" w:rsidP="009F0A8C">
      <w:pPr>
        <w:pStyle w:val="Default"/>
        <w:spacing w:after="120"/>
        <w:jc w:val="both"/>
        <w:rPr>
          <w:rFonts w:ascii="Arial" w:hAnsi="Arial" w:cs="Arial"/>
          <w:color w:val="auto"/>
          <w:sz w:val="22"/>
          <w:szCs w:val="22"/>
        </w:rPr>
      </w:pPr>
    </w:p>
    <w:p w14:paraId="2AE4673C" w14:textId="77777777" w:rsidR="00205AAA" w:rsidRDefault="00205AAA" w:rsidP="009F0A8C">
      <w:pPr>
        <w:pStyle w:val="Default"/>
        <w:spacing w:after="120"/>
        <w:jc w:val="both"/>
        <w:rPr>
          <w:rFonts w:ascii="Arial" w:hAnsi="Arial" w:cs="Arial"/>
          <w:color w:val="auto"/>
          <w:sz w:val="22"/>
          <w:szCs w:val="22"/>
        </w:rPr>
      </w:pPr>
    </w:p>
    <w:p w14:paraId="17593620" w14:textId="77777777" w:rsidR="00205AAA" w:rsidRDefault="00205AAA" w:rsidP="009F0A8C">
      <w:pPr>
        <w:pStyle w:val="Default"/>
        <w:spacing w:after="120"/>
        <w:jc w:val="both"/>
        <w:rPr>
          <w:rFonts w:ascii="Arial" w:hAnsi="Arial" w:cs="Arial"/>
          <w:color w:val="auto"/>
          <w:sz w:val="22"/>
          <w:szCs w:val="22"/>
        </w:rPr>
      </w:pPr>
    </w:p>
    <w:p w14:paraId="547E2E7C" w14:textId="77777777" w:rsidR="00205AAA" w:rsidRDefault="00205AAA" w:rsidP="009F0A8C">
      <w:pPr>
        <w:pStyle w:val="Default"/>
        <w:spacing w:after="120"/>
        <w:jc w:val="both"/>
        <w:rPr>
          <w:rFonts w:ascii="Arial" w:hAnsi="Arial" w:cs="Arial"/>
          <w:color w:val="auto"/>
          <w:sz w:val="22"/>
          <w:szCs w:val="22"/>
        </w:rPr>
      </w:pPr>
    </w:p>
    <w:p w14:paraId="07CA221E" w14:textId="77777777" w:rsidR="00205AAA" w:rsidRDefault="00205AAA" w:rsidP="009F0A8C">
      <w:pPr>
        <w:pStyle w:val="Default"/>
        <w:spacing w:after="120"/>
        <w:jc w:val="both"/>
        <w:rPr>
          <w:rFonts w:ascii="Arial" w:hAnsi="Arial" w:cs="Arial"/>
          <w:color w:val="auto"/>
          <w:sz w:val="22"/>
          <w:szCs w:val="22"/>
        </w:rPr>
      </w:pPr>
    </w:p>
    <w:p w14:paraId="708B8EEB" w14:textId="77777777" w:rsidR="00205AAA" w:rsidRDefault="00205AAA" w:rsidP="009F0A8C">
      <w:pPr>
        <w:pStyle w:val="Default"/>
        <w:spacing w:after="120"/>
        <w:jc w:val="both"/>
        <w:rPr>
          <w:rFonts w:ascii="Arial" w:hAnsi="Arial" w:cs="Arial"/>
          <w:color w:val="auto"/>
          <w:sz w:val="22"/>
          <w:szCs w:val="22"/>
        </w:rPr>
      </w:pPr>
    </w:p>
    <w:p w14:paraId="34F6CC27" w14:textId="510A4314" w:rsidR="00205AAA" w:rsidRPr="00205AAA" w:rsidRDefault="00205AAA" w:rsidP="009F0A8C">
      <w:pPr>
        <w:pStyle w:val="Default"/>
        <w:spacing w:after="120"/>
        <w:jc w:val="both"/>
        <w:rPr>
          <w:rFonts w:ascii="Arial" w:hAnsi="Arial" w:cs="Arial"/>
          <w:color w:val="auto"/>
          <w:sz w:val="22"/>
          <w:szCs w:val="22"/>
        </w:rPr>
      </w:pPr>
    </w:p>
    <w:p w14:paraId="1CB8D7B2" w14:textId="77777777" w:rsidR="00EC65BC" w:rsidRPr="006D1F78" w:rsidRDefault="00EC65BC" w:rsidP="00D568F7">
      <w:pPr>
        <w:pStyle w:val="Default"/>
        <w:spacing w:after="120"/>
        <w:jc w:val="both"/>
        <w:rPr>
          <w:rFonts w:ascii="Arial Narrow" w:hAnsi="Arial Narrow"/>
          <w:sz w:val="20"/>
          <w:szCs w:val="15"/>
        </w:rPr>
      </w:pPr>
    </w:p>
    <w:p w14:paraId="535272BC" w14:textId="45842DAE" w:rsidR="003616E2" w:rsidRDefault="00D568F7" w:rsidP="0089775B">
      <w:pPr>
        <w:pStyle w:val="Default"/>
        <w:spacing w:before="120" w:after="120"/>
        <w:jc w:val="both"/>
        <w:rPr>
          <w:rFonts w:ascii="Arial Narrow" w:hAnsi="Arial Narrow" w:cs="Arial"/>
          <w:sz w:val="15"/>
          <w:szCs w:val="15"/>
        </w:rPr>
      </w:pPr>
      <w:r>
        <w:rPr>
          <w:rFonts w:ascii="Arial Narrow" w:hAnsi="Arial Narrow"/>
          <w:sz w:val="15"/>
          <w:szCs w:val="15"/>
        </w:rPr>
        <w:t>(a</w:t>
      </w:r>
      <w:r w:rsidRPr="002B1D3B">
        <w:rPr>
          <w:rFonts w:ascii="Arial Narrow" w:hAnsi="Arial Narrow"/>
          <w:sz w:val="15"/>
          <w:szCs w:val="15"/>
        </w:rPr>
        <w:t xml:space="preserve">) </w:t>
      </w:r>
      <w:r w:rsidRPr="00D568F7">
        <w:rPr>
          <w:rFonts w:ascii="Arial Narrow" w:hAnsi="Arial Narrow"/>
          <w:sz w:val="15"/>
          <w:szCs w:val="15"/>
        </w:rPr>
        <w:t>I quinti di spesa totale equivalente sono definiti a livello nazionale.</w:t>
      </w:r>
    </w:p>
    <w:p w14:paraId="4A769060" w14:textId="77777777" w:rsidR="003616E2" w:rsidRPr="00427FDB" w:rsidRDefault="003616E2" w:rsidP="0060521F">
      <w:pPr>
        <w:tabs>
          <w:tab w:val="left" w:pos="900"/>
        </w:tabs>
        <w:rPr>
          <w:rFonts w:ascii="Arial Narrow" w:hAnsi="Arial Narrow" w:cs="Arial"/>
          <w:sz w:val="15"/>
          <w:szCs w:val="15"/>
        </w:rPr>
        <w:sectPr w:rsidR="003616E2" w:rsidRPr="00427FDB" w:rsidSect="00B12669">
          <w:headerReference w:type="default" r:id="rId30"/>
          <w:footerReference w:type="default" r:id="rId31"/>
          <w:type w:val="continuous"/>
          <w:pgSz w:w="11906" w:h="16838" w:code="9"/>
          <w:pgMar w:top="567" w:right="992" w:bottom="680" w:left="992" w:header="0" w:footer="0" w:gutter="0"/>
          <w:cols w:space="430"/>
          <w:docGrid w:linePitch="360"/>
        </w:sectPr>
      </w:pPr>
    </w:p>
    <w:p w14:paraId="0EC1EDB1" w14:textId="77777777" w:rsidR="00997E75" w:rsidRDefault="00997E75" w:rsidP="00555071">
      <w:pPr>
        <w:pStyle w:val="Titolo3"/>
        <w:spacing w:before="0" w:beforeAutospacing="0" w:after="120" w:afterAutospacing="0"/>
        <w:rPr>
          <w:rFonts w:ascii="Georgia" w:hAnsi="Georgia" w:cs="Arial"/>
          <w:b w:val="0"/>
          <w:color w:val="1F497D" w:themeColor="text2"/>
          <w:sz w:val="48"/>
          <w:szCs w:val="48"/>
        </w:rPr>
      </w:pPr>
    </w:p>
    <w:p w14:paraId="65EF95B0" w14:textId="4D249055" w:rsidR="001A7F1A" w:rsidRDefault="001A7F1A" w:rsidP="002F6D38">
      <w:pPr>
        <w:pStyle w:val="Titolo3"/>
        <w:spacing w:before="0" w:beforeAutospacing="0" w:after="120" w:afterAutospacing="0" w:line="360" w:lineRule="auto"/>
        <w:rPr>
          <w:rFonts w:ascii="Georgia" w:hAnsi="Georgia" w:cs="Arial"/>
          <w:b w:val="0"/>
          <w:color w:val="1F497D" w:themeColor="text2"/>
          <w:sz w:val="48"/>
          <w:szCs w:val="48"/>
        </w:rPr>
      </w:pPr>
      <w:r w:rsidRPr="002F6D38">
        <w:rPr>
          <w:rFonts w:ascii="Georgia" w:hAnsi="Georgia" w:cs="Arial"/>
          <w:b w:val="0"/>
          <w:color w:val="1F497D" w:themeColor="text2"/>
          <w:sz w:val="48"/>
          <w:szCs w:val="48"/>
        </w:rPr>
        <w:t>Glossario</w:t>
      </w:r>
    </w:p>
    <w:p w14:paraId="750A2AE2" w14:textId="4EFB4DDD" w:rsidR="002E4A2E" w:rsidRPr="004C1D16" w:rsidRDefault="002E4A2E" w:rsidP="002E4A2E">
      <w:pPr>
        <w:autoSpaceDE w:val="0"/>
        <w:autoSpaceDN w:val="0"/>
        <w:adjustRightInd w:val="0"/>
        <w:spacing w:after="120"/>
        <w:jc w:val="both"/>
        <w:rPr>
          <w:rFonts w:ascii="Arial" w:hAnsi="Arial" w:cs="Arial"/>
          <w:b/>
          <w:bCs/>
          <w:color w:val="1F497D" w:themeColor="text2"/>
          <w:sz w:val="21"/>
          <w:szCs w:val="21"/>
        </w:rPr>
      </w:pPr>
      <w:r w:rsidRPr="004C1D16">
        <w:rPr>
          <w:rFonts w:ascii="Arial" w:hAnsi="Arial" w:cs="Arial"/>
          <w:b/>
          <w:bCs/>
          <w:color w:val="1F497D" w:themeColor="text2"/>
          <w:sz w:val="21"/>
          <w:szCs w:val="21"/>
        </w:rPr>
        <w:t xml:space="preserve">Spesa per consumi delle famiglie: </w:t>
      </w:r>
      <w:r w:rsidRPr="004C1D16">
        <w:rPr>
          <w:rFonts w:ascii="Arial" w:hAnsi="Arial" w:cs="Arial"/>
          <w:bCs/>
          <w:sz w:val="21"/>
          <w:szCs w:val="21"/>
        </w:rPr>
        <w:t xml:space="preserve">spesa per beni e servizi acquistati dalle famiglie per il soddisfacimento dei propri bisogni (incluse </w:t>
      </w:r>
      <w:r w:rsidR="00951B09" w:rsidRPr="004C1D16">
        <w:rPr>
          <w:rFonts w:ascii="Arial" w:hAnsi="Arial" w:cs="Arial"/>
          <w:bCs/>
          <w:sz w:val="21"/>
          <w:szCs w:val="21"/>
        </w:rPr>
        <w:t xml:space="preserve">le </w:t>
      </w:r>
      <w:r w:rsidRPr="004C1D16">
        <w:rPr>
          <w:rFonts w:ascii="Arial" w:hAnsi="Arial" w:cs="Arial"/>
          <w:bCs/>
          <w:sz w:val="21"/>
          <w:szCs w:val="21"/>
        </w:rPr>
        <w:t>spese per regali). Vi rientra anche il valore monetario degli affitti figurativi e quello degli autoconsumi, cioè dei beni prodotti e consumati dalla famiglia, così come dei beni e servizi ricevuti dal datore di lavoro a titolo di salario.</w:t>
      </w:r>
      <w:r w:rsidRPr="004C1D16">
        <w:rPr>
          <w:rFonts w:ascii="Arial" w:hAnsi="Arial" w:cs="Arial"/>
          <w:b/>
          <w:bCs/>
          <w:color w:val="1F497D" w:themeColor="text2"/>
          <w:sz w:val="21"/>
          <w:szCs w:val="21"/>
        </w:rPr>
        <w:t xml:space="preserve"> </w:t>
      </w:r>
    </w:p>
    <w:p w14:paraId="221C143E" w14:textId="77777777" w:rsidR="002E4A2E" w:rsidRPr="004C1D16" w:rsidRDefault="002E4A2E" w:rsidP="002E4A2E">
      <w:pPr>
        <w:autoSpaceDE w:val="0"/>
        <w:autoSpaceDN w:val="0"/>
        <w:adjustRightInd w:val="0"/>
        <w:spacing w:after="120"/>
        <w:jc w:val="both"/>
        <w:rPr>
          <w:rFonts w:ascii="Arial" w:hAnsi="Arial" w:cs="Arial"/>
          <w:b/>
          <w:bCs/>
          <w:color w:val="1F497D" w:themeColor="text2"/>
          <w:sz w:val="21"/>
          <w:szCs w:val="21"/>
        </w:rPr>
      </w:pPr>
      <w:r w:rsidRPr="004C1D16">
        <w:rPr>
          <w:rFonts w:ascii="Arial" w:hAnsi="Arial" w:cs="Arial"/>
          <w:b/>
          <w:bCs/>
          <w:color w:val="1F497D" w:themeColor="text2"/>
          <w:sz w:val="21"/>
          <w:szCs w:val="21"/>
        </w:rPr>
        <w:t xml:space="preserve">Spesa media mensile: </w:t>
      </w:r>
      <w:r w:rsidRPr="004C1D16">
        <w:rPr>
          <w:rFonts w:ascii="Arial" w:hAnsi="Arial" w:cs="Arial"/>
          <w:bCs/>
          <w:sz w:val="21"/>
          <w:szCs w:val="21"/>
        </w:rPr>
        <w:t>è calcolata dividendo la spesa totale per il numero delle famiglie residenti in Italia.</w:t>
      </w:r>
    </w:p>
    <w:p w14:paraId="2A4156D5" w14:textId="77777777" w:rsidR="002E4A2E" w:rsidRPr="004C1D16" w:rsidRDefault="002E4A2E" w:rsidP="002E4A2E">
      <w:pPr>
        <w:autoSpaceDE w:val="0"/>
        <w:autoSpaceDN w:val="0"/>
        <w:adjustRightInd w:val="0"/>
        <w:spacing w:after="120"/>
        <w:jc w:val="both"/>
        <w:rPr>
          <w:rFonts w:ascii="Arial" w:hAnsi="Arial" w:cs="Arial"/>
          <w:b/>
          <w:bCs/>
          <w:color w:val="1F497D" w:themeColor="text2"/>
          <w:sz w:val="21"/>
          <w:szCs w:val="21"/>
        </w:rPr>
      </w:pPr>
      <w:r w:rsidRPr="004C1D16">
        <w:rPr>
          <w:rFonts w:ascii="Arial" w:hAnsi="Arial" w:cs="Arial"/>
          <w:b/>
          <w:bCs/>
          <w:color w:val="1F497D" w:themeColor="text2"/>
          <w:sz w:val="21"/>
          <w:szCs w:val="21"/>
        </w:rPr>
        <w:t xml:space="preserve">Spesa mediana mensile: </w:t>
      </w:r>
      <w:r w:rsidRPr="004C1D16">
        <w:rPr>
          <w:rFonts w:ascii="Arial" w:hAnsi="Arial" w:cs="Arial"/>
          <w:bCs/>
          <w:sz w:val="21"/>
          <w:szCs w:val="21"/>
        </w:rPr>
        <w:t>è il valore di spesa per consumi che divide la distribuzione di frequenza in due parti uguali (il 50% delle famiglie presenta un valore di spesa per consumi inferiore o pari alla mediana, il 50% un valore superiore). Poiché la spesa per consumi ha una distribuzione asimmetrica e maggiormente concentrata sui valori più bassi della scala, la mediana risulta sempre inferiore al valore medio.</w:t>
      </w:r>
    </w:p>
    <w:p w14:paraId="27ACE7B9" w14:textId="77777777" w:rsidR="002E4A2E" w:rsidRPr="004C1D16" w:rsidRDefault="002E4A2E" w:rsidP="002E4A2E">
      <w:pPr>
        <w:autoSpaceDE w:val="0"/>
        <w:autoSpaceDN w:val="0"/>
        <w:adjustRightInd w:val="0"/>
        <w:spacing w:after="120"/>
        <w:jc w:val="both"/>
        <w:rPr>
          <w:rFonts w:ascii="Arial" w:hAnsi="Arial" w:cs="Arial"/>
          <w:b/>
          <w:bCs/>
          <w:color w:val="1F497D" w:themeColor="text2"/>
          <w:sz w:val="21"/>
          <w:szCs w:val="21"/>
        </w:rPr>
      </w:pPr>
      <w:r w:rsidRPr="004C1D16">
        <w:rPr>
          <w:rFonts w:ascii="Arial" w:hAnsi="Arial" w:cs="Arial"/>
          <w:b/>
          <w:bCs/>
          <w:color w:val="1F497D" w:themeColor="text2"/>
          <w:sz w:val="21"/>
          <w:szCs w:val="21"/>
        </w:rPr>
        <w:t xml:space="preserve">Affitto figurativo: </w:t>
      </w:r>
      <w:r w:rsidRPr="004C1D16">
        <w:rPr>
          <w:rFonts w:ascii="Arial" w:hAnsi="Arial" w:cs="Arial"/>
          <w:bCs/>
          <w:sz w:val="21"/>
          <w:szCs w:val="21"/>
        </w:rPr>
        <w:t>è una componente non monetaria della spesa per consumi delle famiglie che vivono in abitazione di proprietà, usufrutto o in uso gratuito o che sono proprietarie di un’abitazione secondaria; rappresenta il costo che queste dovrebbero sostenere per prendere in affitto un’unità abitativa con caratteristiche identiche a quella in cui vivono o all’abitazione secondaria di loro proprietà. Tale componente viene considerata negli studi sulla distribuzione delle spese per consumi, sulla distribuzione dei redditi e sulla povertà, per avere un confronto più preciso tra le condizioni economiche delle famiglie con diverso titolo di godimento dell’abitazione. In termini operativi, per l’indagine sulle Spese alle famiglie viene chiesto di indicare il valore del canone mensile che potrebbero ottenere affittando l’abitazione.</w:t>
      </w:r>
    </w:p>
    <w:p w14:paraId="2F425C7B" w14:textId="77777777" w:rsidR="002E4A2E" w:rsidRPr="004C1D16" w:rsidRDefault="002E4A2E" w:rsidP="002E4A2E">
      <w:pPr>
        <w:autoSpaceDE w:val="0"/>
        <w:autoSpaceDN w:val="0"/>
        <w:adjustRightInd w:val="0"/>
        <w:spacing w:after="120"/>
        <w:jc w:val="both"/>
        <w:rPr>
          <w:rFonts w:ascii="Arial" w:hAnsi="Arial" w:cs="Arial"/>
          <w:b/>
          <w:bCs/>
          <w:color w:val="1F497D" w:themeColor="text2"/>
          <w:sz w:val="21"/>
          <w:szCs w:val="21"/>
        </w:rPr>
      </w:pPr>
      <w:r w:rsidRPr="004C1D16">
        <w:rPr>
          <w:rFonts w:ascii="Arial" w:hAnsi="Arial" w:cs="Arial"/>
          <w:b/>
          <w:bCs/>
          <w:color w:val="1F497D" w:themeColor="text2"/>
          <w:sz w:val="21"/>
          <w:szCs w:val="21"/>
        </w:rPr>
        <w:t xml:space="preserve">Persona di riferimento (p.r.): </w:t>
      </w:r>
      <w:r w:rsidRPr="004C1D16">
        <w:rPr>
          <w:rFonts w:ascii="Arial" w:hAnsi="Arial" w:cs="Arial"/>
          <w:bCs/>
          <w:sz w:val="21"/>
          <w:szCs w:val="21"/>
        </w:rPr>
        <w:t>è l’intestatario della scheda di famiglia in anagrafe.</w:t>
      </w:r>
    </w:p>
    <w:p w14:paraId="1FE29DF9" w14:textId="77777777" w:rsidR="002E4A2E" w:rsidRPr="004C1D16" w:rsidRDefault="002E4A2E" w:rsidP="002E4A2E">
      <w:pPr>
        <w:autoSpaceDE w:val="0"/>
        <w:autoSpaceDN w:val="0"/>
        <w:adjustRightInd w:val="0"/>
        <w:spacing w:after="120"/>
        <w:jc w:val="both"/>
        <w:rPr>
          <w:rFonts w:ascii="Arial" w:hAnsi="Arial" w:cs="Arial"/>
          <w:bCs/>
          <w:sz w:val="21"/>
          <w:szCs w:val="21"/>
        </w:rPr>
      </w:pPr>
      <w:r w:rsidRPr="004C1D16">
        <w:rPr>
          <w:rFonts w:ascii="Arial" w:hAnsi="Arial" w:cs="Arial"/>
          <w:b/>
          <w:bCs/>
          <w:color w:val="1F497D" w:themeColor="text2"/>
          <w:sz w:val="21"/>
          <w:szCs w:val="21"/>
        </w:rPr>
        <w:t xml:space="preserve">Altro indipendente: </w:t>
      </w:r>
      <w:r w:rsidRPr="004C1D16">
        <w:rPr>
          <w:rFonts w:ascii="Arial" w:hAnsi="Arial" w:cs="Arial"/>
          <w:bCs/>
          <w:sz w:val="21"/>
          <w:szCs w:val="21"/>
        </w:rPr>
        <w:t>include il lavoratore in proprio, il socio di cooperativa, il coadiuvante nell'azienda di un familiare, il collaboratore coordinato e continuativo (con o senza progetto), il prestatore d'opera occasionale.</w:t>
      </w:r>
    </w:p>
    <w:p w14:paraId="53D31147" w14:textId="77777777" w:rsidR="002E4A2E" w:rsidRPr="004C1D16" w:rsidRDefault="002E4A2E" w:rsidP="002E4A2E">
      <w:pPr>
        <w:autoSpaceDE w:val="0"/>
        <w:autoSpaceDN w:val="0"/>
        <w:adjustRightInd w:val="0"/>
        <w:spacing w:after="120"/>
        <w:jc w:val="both"/>
        <w:rPr>
          <w:rFonts w:ascii="Arial" w:hAnsi="Arial" w:cs="Arial"/>
          <w:bCs/>
          <w:sz w:val="21"/>
          <w:szCs w:val="21"/>
        </w:rPr>
      </w:pPr>
      <w:r w:rsidRPr="004C1D16">
        <w:rPr>
          <w:rFonts w:ascii="Arial" w:hAnsi="Arial" w:cs="Arial"/>
          <w:b/>
          <w:bCs/>
          <w:color w:val="1F497D" w:themeColor="text2"/>
          <w:sz w:val="21"/>
          <w:szCs w:val="21"/>
        </w:rPr>
        <w:t xml:space="preserve">Operaio e assimilato: </w:t>
      </w:r>
      <w:r w:rsidRPr="004C1D16">
        <w:rPr>
          <w:rFonts w:ascii="Arial" w:hAnsi="Arial" w:cs="Arial"/>
          <w:bCs/>
          <w:sz w:val="21"/>
          <w:szCs w:val="21"/>
        </w:rPr>
        <w:t>include il capo operaio, l’operaio subalterno, l’assimilato, l’apprendista, il lavorante a domicilio per conto di imprese.</w:t>
      </w:r>
    </w:p>
    <w:p w14:paraId="634AB6FE" w14:textId="4A145FA1" w:rsidR="002E4A2E" w:rsidRPr="004C1D16" w:rsidRDefault="002E4A2E" w:rsidP="002E4A2E">
      <w:pPr>
        <w:autoSpaceDE w:val="0"/>
        <w:autoSpaceDN w:val="0"/>
        <w:adjustRightInd w:val="0"/>
        <w:spacing w:after="120"/>
        <w:jc w:val="both"/>
        <w:rPr>
          <w:rFonts w:ascii="Arial" w:hAnsi="Arial" w:cs="Arial"/>
          <w:b/>
          <w:bCs/>
          <w:color w:val="1F497D" w:themeColor="text2"/>
          <w:sz w:val="21"/>
          <w:szCs w:val="21"/>
        </w:rPr>
      </w:pPr>
      <w:r w:rsidRPr="004C1D16">
        <w:rPr>
          <w:rFonts w:ascii="Arial" w:hAnsi="Arial" w:cs="Arial"/>
          <w:b/>
          <w:bCs/>
          <w:color w:val="1F497D" w:themeColor="text2"/>
          <w:sz w:val="21"/>
          <w:szCs w:val="21"/>
        </w:rPr>
        <w:t xml:space="preserve">Decili di spesa equivalente: </w:t>
      </w:r>
      <w:r w:rsidRPr="004C1D16">
        <w:rPr>
          <w:rFonts w:ascii="Arial" w:hAnsi="Arial" w:cs="Arial"/>
          <w:bCs/>
          <w:sz w:val="21"/>
          <w:szCs w:val="21"/>
        </w:rPr>
        <w:t>i valori dei decili rappresentano le soglie di spesa per consumi equivalente che dividono la distribuzione di frequenza in dieci parti uguali. Ad esempio, il prim</w:t>
      </w:r>
      <w:r w:rsidR="001C4305" w:rsidRPr="004C1D16">
        <w:rPr>
          <w:rFonts w:ascii="Arial" w:hAnsi="Arial" w:cs="Arial"/>
          <w:bCs/>
          <w:sz w:val="21"/>
          <w:szCs w:val="21"/>
        </w:rPr>
        <w:t xml:space="preserve">o decile, o decimo percentile, </w:t>
      </w:r>
      <w:r w:rsidRPr="004C1D16">
        <w:rPr>
          <w:rFonts w:ascii="Arial" w:hAnsi="Arial" w:cs="Arial"/>
          <w:bCs/>
          <w:sz w:val="21"/>
          <w:szCs w:val="21"/>
        </w:rPr>
        <w:t>che nel 20</w:t>
      </w:r>
      <w:r w:rsidR="003E7010" w:rsidRPr="004C1D16">
        <w:rPr>
          <w:rFonts w:ascii="Arial" w:hAnsi="Arial" w:cs="Arial"/>
          <w:bCs/>
          <w:sz w:val="21"/>
          <w:szCs w:val="21"/>
        </w:rPr>
        <w:t>20</w:t>
      </w:r>
      <w:r w:rsidRPr="004C1D16">
        <w:rPr>
          <w:rFonts w:ascii="Arial" w:hAnsi="Arial" w:cs="Arial"/>
          <w:bCs/>
          <w:sz w:val="21"/>
          <w:szCs w:val="21"/>
        </w:rPr>
        <w:t xml:space="preserve"> è pari a 1.</w:t>
      </w:r>
      <w:r w:rsidR="003E7010" w:rsidRPr="004C1D16">
        <w:rPr>
          <w:rFonts w:ascii="Arial" w:hAnsi="Arial" w:cs="Arial"/>
          <w:bCs/>
          <w:sz w:val="21"/>
          <w:szCs w:val="21"/>
        </w:rPr>
        <w:t>002</w:t>
      </w:r>
      <w:r w:rsidR="00CF676C" w:rsidRPr="004C1D16">
        <w:rPr>
          <w:rFonts w:ascii="Arial" w:hAnsi="Arial" w:cs="Arial"/>
          <w:bCs/>
          <w:sz w:val="21"/>
          <w:szCs w:val="21"/>
        </w:rPr>
        <w:t>,</w:t>
      </w:r>
      <w:r w:rsidR="00AB1B70" w:rsidRPr="004C1D16">
        <w:rPr>
          <w:rFonts w:ascii="Arial" w:hAnsi="Arial" w:cs="Arial"/>
          <w:bCs/>
          <w:sz w:val="21"/>
          <w:szCs w:val="21"/>
        </w:rPr>
        <w:t>6</w:t>
      </w:r>
      <w:r w:rsidR="003E7010" w:rsidRPr="004C1D16">
        <w:rPr>
          <w:rFonts w:ascii="Arial" w:hAnsi="Arial" w:cs="Arial"/>
          <w:bCs/>
          <w:sz w:val="21"/>
          <w:szCs w:val="21"/>
        </w:rPr>
        <w:t>7</w:t>
      </w:r>
      <w:r w:rsidRPr="004C1D16">
        <w:rPr>
          <w:rFonts w:ascii="Arial" w:hAnsi="Arial" w:cs="Arial"/>
          <w:bCs/>
          <w:color w:val="FF0000"/>
          <w:sz w:val="21"/>
          <w:szCs w:val="21"/>
        </w:rPr>
        <w:t xml:space="preserve"> </w:t>
      </w:r>
      <w:r w:rsidRPr="004C1D16">
        <w:rPr>
          <w:rFonts w:ascii="Arial" w:hAnsi="Arial" w:cs="Arial"/>
          <w:bCs/>
          <w:sz w:val="21"/>
          <w:szCs w:val="21"/>
        </w:rPr>
        <w:t>euro</w:t>
      </w:r>
      <w:r w:rsidR="001C4305" w:rsidRPr="004C1D16">
        <w:rPr>
          <w:rFonts w:ascii="Arial" w:hAnsi="Arial" w:cs="Arial"/>
          <w:bCs/>
          <w:sz w:val="21"/>
          <w:szCs w:val="21"/>
        </w:rPr>
        <w:t>,</w:t>
      </w:r>
      <w:r w:rsidRPr="004C1D16">
        <w:rPr>
          <w:rFonts w:ascii="Arial" w:hAnsi="Arial" w:cs="Arial"/>
          <w:bCs/>
          <w:sz w:val="21"/>
          <w:szCs w:val="21"/>
        </w:rPr>
        <w:t xml:space="preserve"> è il valore che separa il 10% delle famiglie con la spesa equivalente più bassa dal restante 90%.</w:t>
      </w:r>
      <w:r w:rsidRPr="004C1D16">
        <w:rPr>
          <w:rFonts w:ascii="Arial" w:hAnsi="Arial" w:cs="Arial"/>
          <w:b/>
          <w:bCs/>
          <w:color w:val="1F497D" w:themeColor="text2"/>
          <w:sz w:val="21"/>
          <w:szCs w:val="21"/>
        </w:rPr>
        <w:t xml:space="preserve"> </w:t>
      </w:r>
    </w:p>
    <w:p w14:paraId="11BC252B" w14:textId="77777777" w:rsidR="00E83D14" w:rsidRPr="004C1D16" w:rsidRDefault="00E83D14" w:rsidP="002E4A2E">
      <w:pPr>
        <w:autoSpaceDE w:val="0"/>
        <w:autoSpaceDN w:val="0"/>
        <w:adjustRightInd w:val="0"/>
        <w:spacing w:after="120"/>
        <w:jc w:val="both"/>
        <w:rPr>
          <w:rFonts w:ascii="Arial" w:hAnsi="Arial" w:cs="Arial"/>
          <w:b/>
          <w:bCs/>
          <w:color w:val="1F497D" w:themeColor="text2"/>
          <w:sz w:val="21"/>
          <w:szCs w:val="21"/>
        </w:rPr>
      </w:pPr>
    </w:p>
    <w:p w14:paraId="44EB854B" w14:textId="367AE346" w:rsidR="00B52F2F" w:rsidRPr="004C1D16" w:rsidRDefault="00B52F2F" w:rsidP="00B52F2F">
      <w:pPr>
        <w:spacing w:after="120"/>
        <w:jc w:val="both"/>
        <w:rPr>
          <w:rFonts w:ascii="Arial Narrow" w:hAnsi="Arial Narrow" w:cs="Arial"/>
          <w:iCs/>
          <w:noProof/>
          <w:color w:val="1F497D" w:themeColor="text2"/>
          <w:sz w:val="21"/>
          <w:szCs w:val="21"/>
        </w:rPr>
      </w:pPr>
      <w:r w:rsidRPr="004C1D16">
        <w:rPr>
          <w:rFonts w:ascii="Arial Narrow" w:hAnsi="Arial Narrow" w:cs="Arial"/>
          <w:b/>
          <w:iCs/>
          <w:noProof/>
          <w:color w:val="1F497D" w:themeColor="text2"/>
          <w:sz w:val="21"/>
          <w:szCs w:val="21"/>
        </w:rPr>
        <w:t xml:space="preserve">VALORE SOGLIA DEL DECILE PER DECIMO DI SPESA EQUIVALENTE. </w:t>
      </w:r>
      <w:r w:rsidRPr="004C1D16">
        <w:rPr>
          <w:rFonts w:ascii="Arial Narrow" w:hAnsi="Arial Narrow" w:cs="Arial"/>
          <w:iCs/>
          <w:noProof/>
          <w:color w:val="1F497D" w:themeColor="text2"/>
          <w:sz w:val="21"/>
          <w:szCs w:val="21"/>
        </w:rPr>
        <w:t>Anni 201</w:t>
      </w:r>
      <w:r w:rsidR="00C70D65" w:rsidRPr="004C1D16">
        <w:rPr>
          <w:rFonts w:ascii="Arial Narrow" w:hAnsi="Arial Narrow" w:cs="Arial"/>
          <w:iCs/>
          <w:noProof/>
          <w:color w:val="1F497D" w:themeColor="text2"/>
          <w:sz w:val="21"/>
          <w:szCs w:val="21"/>
        </w:rPr>
        <w:t>9</w:t>
      </w:r>
      <w:r w:rsidRPr="004C1D16">
        <w:rPr>
          <w:rFonts w:ascii="Arial Narrow" w:hAnsi="Arial Narrow" w:cs="Arial"/>
          <w:iCs/>
          <w:noProof/>
          <w:color w:val="1F497D" w:themeColor="text2"/>
          <w:sz w:val="21"/>
          <w:szCs w:val="21"/>
        </w:rPr>
        <w:t>-20</w:t>
      </w:r>
      <w:r w:rsidR="00C70D65" w:rsidRPr="004C1D16">
        <w:rPr>
          <w:rFonts w:ascii="Arial Narrow" w:hAnsi="Arial Narrow" w:cs="Arial"/>
          <w:iCs/>
          <w:noProof/>
          <w:color w:val="1F497D" w:themeColor="text2"/>
          <w:sz w:val="21"/>
          <w:szCs w:val="21"/>
        </w:rPr>
        <w:t>20</w:t>
      </w:r>
      <w:r w:rsidRPr="004C1D16">
        <w:rPr>
          <w:rFonts w:ascii="Arial Narrow" w:hAnsi="Arial Narrow" w:cs="Arial"/>
          <w:iCs/>
          <w:noProof/>
          <w:color w:val="1F497D" w:themeColor="text2"/>
          <w:sz w:val="21"/>
          <w:szCs w:val="21"/>
        </w:rPr>
        <w:t xml:space="preserve">, valori in euro </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169"/>
        <w:gridCol w:w="3018"/>
        <w:gridCol w:w="3019"/>
      </w:tblGrid>
      <w:tr w:rsidR="00B52F2F" w:rsidRPr="004C1D16" w14:paraId="30CA41CB" w14:textId="77777777" w:rsidTr="00E83D14">
        <w:trPr>
          <w:trHeight w:val="255"/>
        </w:trPr>
        <w:tc>
          <w:tcPr>
            <w:tcW w:w="4169" w:type="dxa"/>
            <w:vMerge w:val="restart"/>
            <w:shd w:val="clear" w:color="auto" w:fill="1F497D"/>
            <w:vAlign w:val="center"/>
          </w:tcPr>
          <w:p w14:paraId="1A65708E" w14:textId="77777777" w:rsidR="00B52F2F" w:rsidRPr="004C1D16" w:rsidRDefault="00B52F2F">
            <w:pPr>
              <w:spacing w:before="40" w:after="20"/>
              <w:ind w:right="31"/>
              <w:jc w:val="center"/>
              <w:rPr>
                <w:rFonts w:ascii="Arial Narrow" w:hAnsi="Arial Narrow" w:cs="Arial"/>
                <w:b/>
                <w:color w:val="FFFFFF" w:themeColor="background1"/>
                <w:sz w:val="21"/>
                <w:szCs w:val="21"/>
              </w:rPr>
            </w:pPr>
            <w:r w:rsidRPr="004C1D16">
              <w:rPr>
                <w:rFonts w:ascii="Arial Narrow" w:hAnsi="Arial Narrow" w:cs="Arial"/>
                <w:b/>
                <w:color w:val="FFFFFF" w:themeColor="background1"/>
                <w:sz w:val="21"/>
                <w:szCs w:val="21"/>
              </w:rPr>
              <w:t>DECIMO DI SPESA EQUIVALENTE</w:t>
            </w:r>
          </w:p>
        </w:tc>
        <w:tc>
          <w:tcPr>
            <w:tcW w:w="6037" w:type="dxa"/>
            <w:gridSpan w:val="2"/>
            <w:shd w:val="clear" w:color="auto" w:fill="1F497D"/>
            <w:vAlign w:val="center"/>
          </w:tcPr>
          <w:p w14:paraId="409BB70D" w14:textId="77777777" w:rsidR="00B52F2F" w:rsidRPr="004C1D16" w:rsidRDefault="00B52F2F">
            <w:pPr>
              <w:spacing w:before="40" w:after="20"/>
              <w:ind w:right="31"/>
              <w:jc w:val="center"/>
              <w:rPr>
                <w:rFonts w:ascii="Arial Narrow" w:hAnsi="Arial Narrow" w:cs="Arial"/>
                <w:b/>
                <w:color w:val="FFFFFF" w:themeColor="background1"/>
                <w:sz w:val="21"/>
                <w:szCs w:val="21"/>
              </w:rPr>
            </w:pPr>
            <w:r w:rsidRPr="004C1D16">
              <w:rPr>
                <w:rFonts w:ascii="Arial Narrow" w:hAnsi="Arial Narrow" w:cs="Arial"/>
                <w:b/>
                <w:color w:val="FFFFFF" w:themeColor="background1"/>
                <w:sz w:val="21"/>
                <w:szCs w:val="21"/>
              </w:rPr>
              <w:t>VALORE DEL DECILE</w:t>
            </w:r>
          </w:p>
        </w:tc>
      </w:tr>
      <w:tr w:rsidR="00B52F2F" w:rsidRPr="004C1D16" w14:paraId="13E2E3DA" w14:textId="77777777" w:rsidTr="00E83D14">
        <w:trPr>
          <w:trHeight w:val="255"/>
        </w:trPr>
        <w:tc>
          <w:tcPr>
            <w:tcW w:w="4169" w:type="dxa"/>
            <w:vMerge/>
            <w:shd w:val="clear" w:color="auto" w:fill="1F497D"/>
            <w:vAlign w:val="center"/>
          </w:tcPr>
          <w:p w14:paraId="5A4ADAF1" w14:textId="77777777" w:rsidR="00B52F2F" w:rsidRPr="004C1D16" w:rsidRDefault="00B52F2F">
            <w:pPr>
              <w:spacing w:before="40" w:after="20"/>
              <w:ind w:left="72"/>
              <w:rPr>
                <w:rFonts w:ascii="Arial Narrow" w:hAnsi="Arial Narrow" w:cs="Arial"/>
                <w:b/>
                <w:sz w:val="21"/>
                <w:szCs w:val="21"/>
              </w:rPr>
            </w:pPr>
          </w:p>
        </w:tc>
        <w:tc>
          <w:tcPr>
            <w:tcW w:w="3018" w:type="dxa"/>
            <w:shd w:val="clear" w:color="auto" w:fill="1F497D"/>
            <w:vAlign w:val="center"/>
          </w:tcPr>
          <w:p w14:paraId="04BE335C" w14:textId="7F2D34B1" w:rsidR="00B52F2F" w:rsidRPr="004C1D16" w:rsidRDefault="00E775F7" w:rsidP="008974B3">
            <w:pPr>
              <w:spacing w:before="40" w:after="20"/>
              <w:jc w:val="center"/>
              <w:rPr>
                <w:rFonts w:ascii="Arial Narrow" w:hAnsi="Arial Narrow" w:cs="Arial"/>
                <w:b/>
                <w:color w:val="FFFFFF" w:themeColor="background1"/>
                <w:sz w:val="21"/>
                <w:szCs w:val="21"/>
              </w:rPr>
            </w:pPr>
            <w:r w:rsidRPr="004C1D16">
              <w:rPr>
                <w:rFonts w:ascii="Arial Narrow" w:hAnsi="Arial Narrow" w:cs="Arial"/>
                <w:b/>
                <w:color w:val="FFFFFF" w:themeColor="background1"/>
                <w:sz w:val="21"/>
                <w:szCs w:val="21"/>
              </w:rPr>
              <w:t>201</w:t>
            </w:r>
            <w:r w:rsidR="00C70D65" w:rsidRPr="004C1D16">
              <w:rPr>
                <w:rFonts w:ascii="Arial Narrow" w:hAnsi="Arial Narrow" w:cs="Arial"/>
                <w:b/>
                <w:color w:val="FFFFFF" w:themeColor="background1"/>
                <w:sz w:val="21"/>
                <w:szCs w:val="21"/>
              </w:rPr>
              <w:t>9</w:t>
            </w:r>
          </w:p>
        </w:tc>
        <w:tc>
          <w:tcPr>
            <w:tcW w:w="3019" w:type="dxa"/>
            <w:shd w:val="clear" w:color="auto" w:fill="1F497D"/>
            <w:vAlign w:val="center"/>
          </w:tcPr>
          <w:p w14:paraId="0FC501CE" w14:textId="22EEB86E" w:rsidR="00B52F2F" w:rsidRPr="004C1D16" w:rsidRDefault="00B52F2F" w:rsidP="008974B3">
            <w:pPr>
              <w:spacing w:before="40" w:after="20"/>
              <w:jc w:val="center"/>
              <w:rPr>
                <w:rFonts w:ascii="Arial Narrow" w:hAnsi="Arial Narrow" w:cs="Arial"/>
                <w:b/>
                <w:color w:val="FFFFFF" w:themeColor="background1"/>
                <w:sz w:val="21"/>
                <w:szCs w:val="21"/>
              </w:rPr>
            </w:pPr>
            <w:r w:rsidRPr="004C1D16">
              <w:rPr>
                <w:rFonts w:ascii="Arial Narrow" w:hAnsi="Arial Narrow" w:cs="Arial"/>
                <w:b/>
                <w:color w:val="FFFFFF" w:themeColor="background1"/>
                <w:sz w:val="21"/>
                <w:szCs w:val="21"/>
              </w:rPr>
              <w:t>20</w:t>
            </w:r>
            <w:r w:rsidR="00C70D65" w:rsidRPr="004C1D16">
              <w:rPr>
                <w:rFonts w:ascii="Arial Narrow" w:hAnsi="Arial Narrow" w:cs="Arial"/>
                <w:b/>
                <w:color w:val="FFFFFF" w:themeColor="background1"/>
                <w:sz w:val="21"/>
                <w:szCs w:val="21"/>
              </w:rPr>
              <w:t>20</w:t>
            </w:r>
          </w:p>
        </w:tc>
      </w:tr>
      <w:tr w:rsidR="00C70D65" w:rsidRPr="004C1D16" w14:paraId="46C23E8F" w14:textId="77777777" w:rsidTr="00AB1B70">
        <w:trPr>
          <w:trHeight w:val="255"/>
        </w:trPr>
        <w:tc>
          <w:tcPr>
            <w:tcW w:w="4169" w:type="dxa"/>
            <w:shd w:val="clear" w:color="auto" w:fill="auto"/>
            <w:vAlign w:val="center"/>
          </w:tcPr>
          <w:p w14:paraId="024BD586"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1</w:t>
            </w:r>
          </w:p>
        </w:tc>
        <w:tc>
          <w:tcPr>
            <w:tcW w:w="3018" w:type="dxa"/>
            <w:shd w:val="clear" w:color="auto" w:fill="D9D9D9"/>
            <w:vAlign w:val="center"/>
          </w:tcPr>
          <w:p w14:paraId="324B396B" w14:textId="16F03630"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1.050,65</w:t>
            </w:r>
          </w:p>
        </w:tc>
        <w:tc>
          <w:tcPr>
            <w:tcW w:w="3019" w:type="dxa"/>
            <w:shd w:val="clear" w:color="auto" w:fill="auto"/>
            <w:vAlign w:val="center"/>
          </w:tcPr>
          <w:p w14:paraId="0AE67925" w14:textId="266F8E16"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1.00</w:t>
            </w:r>
            <w:r w:rsidR="009D2538" w:rsidRPr="004C1D16">
              <w:rPr>
                <w:rFonts w:ascii="Arial Narrow" w:hAnsi="Arial Narrow"/>
                <w:sz w:val="21"/>
                <w:szCs w:val="21"/>
              </w:rPr>
              <w:t>2</w:t>
            </w:r>
            <w:r w:rsidRPr="004C1D16">
              <w:rPr>
                <w:rFonts w:ascii="Arial Narrow" w:hAnsi="Arial Narrow"/>
                <w:sz w:val="21"/>
                <w:szCs w:val="21"/>
              </w:rPr>
              <w:t>,6</w:t>
            </w:r>
            <w:r w:rsidR="009D2538" w:rsidRPr="004C1D16">
              <w:rPr>
                <w:rFonts w:ascii="Arial Narrow" w:hAnsi="Arial Narrow"/>
                <w:sz w:val="21"/>
                <w:szCs w:val="21"/>
              </w:rPr>
              <w:t>7</w:t>
            </w:r>
          </w:p>
        </w:tc>
      </w:tr>
      <w:tr w:rsidR="00C70D65" w:rsidRPr="004C1D16" w14:paraId="2FDBB4F4" w14:textId="77777777" w:rsidTr="00E83D14">
        <w:trPr>
          <w:trHeight w:val="255"/>
        </w:trPr>
        <w:tc>
          <w:tcPr>
            <w:tcW w:w="4169" w:type="dxa"/>
            <w:shd w:val="clear" w:color="auto" w:fill="auto"/>
            <w:vAlign w:val="center"/>
          </w:tcPr>
          <w:p w14:paraId="24E6BDAE"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2</w:t>
            </w:r>
          </w:p>
        </w:tc>
        <w:tc>
          <w:tcPr>
            <w:tcW w:w="3018" w:type="dxa"/>
            <w:shd w:val="clear" w:color="auto" w:fill="D9D9D9"/>
            <w:vAlign w:val="center"/>
          </w:tcPr>
          <w:p w14:paraId="43078BDC" w14:textId="0C1B8144"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1.359,63</w:t>
            </w:r>
          </w:p>
        </w:tc>
        <w:tc>
          <w:tcPr>
            <w:tcW w:w="3019" w:type="dxa"/>
            <w:shd w:val="clear" w:color="auto" w:fill="auto"/>
            <w:vAlign w:val="center"/>
          </w:tcPr>
          <w:p w14:paraId="138D53FC" w14:textId="62053E2E"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1.</w:t>
            </w:r>
            <w:r w:rsidR="009D2538" w:rsidRPr="004C1D16">
              <w:rPr>
                <w:rFonts w:ascii="Arial Narrow" w:hAnsi="Arial Narrow"/>
                <w:sz w:val="21"/>
                <w:szCs w:val="21"/>
              </w:rPr>
              <w:t>268</w:t>
            </w:r>
            <w:r w:rsidRPr="004C1D16">
              <w:rPr>
                <w:rFonts w:ascii="Arial Narrow" w:hAnsi="Arial Narrow"/>
                <w:sz w:val="21"/>
                <w:szCs w:val="21"/>
              </w:rPr>
              <w:t>,</w:t>
            </w:r>
            <w:r w:rsidR="009D2538" w:rsidRPr="004C1D16">
              <w:rPr>
                <w:rFonts w:ascii="Arial Narrow" w:hAnsi="Arial Narrow"/>
                <w:sz w:val="21"/>
                <w:szCs w:val="21"/>
              </w:rPr>
              <w:t>10</w:t>
            </w:r>
          </w:p>
        </w:tc>
      </w:tr>
      <w:tr w:rsidR="00C70D65" w:rsidRPr="004C1D16" w14:paraId="4F362A82" w14:textId="77777777" w:rsidTr="00E83D14">
        <w:trPr>
          <w:trHeight w:val="255"/>
        </w:trPr>
        <w:tc>
          <w:tcPr>
            <w:tcW w:w="4169" w:type="dxa"/>
            <w:shd w:val="clear" w:color="auto" w:fill="auto"/>
            <w:vAlign w:val="center"/>
          </w:tcPr>
          <w:p w14:paraId="1AB9B648"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3</w:t>
            </w:r>
          </w:p>
        </w:tc>
        <w:tc>
          <w:tcPr>
            <w:tcW w:w="3018" w:type="dxa"/>
            <w:shd w:val="clear" w:color="auto" w:fill="D9D9D9"/>
            <w:vAlign w:val="center"/>
          </w:tcPr>
          <w:p w14:paraId="6192A020" w14:textId="684E0528"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1.627,07</w:t>
            </w:r>
          </w:p>
        </w:tc>
        <w:tc>
          <w:tcPr>
            <w:tcW w:w="3019" w:type="dxa"/>
            <w:shd w:val="clear" w:color="auto" w:fill="auto"/>
            <w:vAlign w:val="center"/>
          </w:tcPr>
          <w:p w14:paraId="5115DFC3" w14:textId="75EE7D62"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1.</w:t>
            </w:r>
            <w:r w:rsidR="009D2538" w:rsidRPr="004C1D16">
              <w:rPr>
                <w:rFonts w:ascii="Arial Narrow" w:hAnsi="Arial Narrow"/>
                <w:sz w:val="21"/>
                <w:szCs w:val="21"/>
              </w:rPr>
              <w:t>499</w:t>
            </w:r>
            <w:r w:rsidRPr="004C1D16">
              <w:rPr>
                <w:rFonts w:ascii="Arial Narrow" w:hAnsi="Arial Narrow"/>
                <w:sz w:val="21"/>
                <w:szCs w:val="21"/>
              </w:rPr>
              <w:t>,</w:t>
            </w:r>
            <w:r w:rsidR="009D2538" w:rsidRPr="004C1D16">
              <w:rPr>
                <w:rFonts w:ascii="Arial Narrow" w:hAnsi="Arial Narrow"/>
                <w:sz w:val="21"/>
                <w:szCs w:val="21"/>
              </w:rPr>
              <w:t>32</w:t>
            </w:r>
          </w:p>
        </w:tc>
      </w:tr>
      <w:tr w:rsidR="00C70D65" w:rsidRPr="004C1D16" w14:paraId="1DA1C435" w14:textId="77777777" w:rsidTr="00E83D14">
        <w:trPr>
          <w:trHeight w:val="255"/>
        </w:trPr>
        <w:tc>
          <w:tcPr>
            <w:tcW w:w="4169" w:type="dxa"/>
            <w:shd w:val="clear" w:color="auto" w:fill="auto"/>
            <w:vAlign w:val="center"/>
          </w:tcPr>
          <w:p w14:paraId="6C09A1EE"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4</w:t>
            </w:r>
          </w:p>
        </w:tc>
        <w:tc>
          <w:tcPr>
            <w:tcW w:w="3018" w:type="dxa"/>
            <w:shd w:val="clear" w:color="auto" w:fill="D9D9D9"/>
            <w:vAlign w:val="center"/>
          </w:tcPr>
          <w:p w14:paraId="48960618" w14:textId="77F367CD"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1.909,64</w:t>
            </w:r>
          </w:p>
        </w:tc>
        <w:tc>
          <w:tcPr>
            <w:tcW w:w="3019" w:type="dxa"/>
            <w:shd w:val="clear" w:color="auto" w:fill="auto"/>
            <w:vAlign w:val="center"/>
          </w:tcPr>
          <w:p w14:paraId="3E74B071" w14:textId="2D974234"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1.</w:t>
            </w:r>
            <w:r w:rsidR="009D2538" w:rsidRPr="004C1D16">
              <w:rPr>
                <w:rFonts w:ascii="Arial Narrow" w:hAnsi="Arial Narrow"/>
                <w:sz w:val="21"/>
                <w:szCs w:val="21"/>
              </w:rPr>
              <w:t>730</w:t>
            </w:r>
            <w:r w:rsidRPr="004C1D16">
              <w:rPr>
                <w:rFonts w:ascii="Arial Narrow" w:hAnsi="Arial Narrow"/>
                <w:sz w:val="21"/>
                <w:szCs w:val="21"/>
              </w:rPr>
              <w:t>,</w:t>
            </w:r>
            <w:r w:rsidR="009D2538" w:rsidRPr="004C1D16">
              <w:rPr>
                <w:rFonts w:ascii="Arial Narrow" w:hAnsi="Arial Narrow"/>
                <w:sz w:val="21"/>
                <w:szCs w:val="21"/>
              </w:rPr>
              <w:t>90</w:t>
            </w:r>
          </w:p>
        </w:tc>
      </w:tr>
      <w:tr w:rsidR="008974B3" w:rsidRPr="004C1D16" w14:paraId="3A1F05A2" w14:textId="77777777" w:rsidTr="00E83D14">
        <w:trPr>
          <w:trHeight w:val="255"/>
        </w:trPr>
        <w:tc>
          <w:tcPr>
            <w:tcW w:w="4169" w:type="dxa"/>
            <w:shd w:val="clear" w:color="auto" w:fill="auto"/>
            <w:vAlign w:val="center"/>
          </w:tcPr>
          <w:p w14:paraId="61F0E0F8"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5</w:t>
            </w:r>
          </w:p>
        </w:tc>
        <w:tc>
          <w:tcPr>
            <w:tcW w:w="3018" w:type="dxa"/>
            <w:shd w:val="clear" w:color="auto" w:fill="D9D9D9"/>
            <w:vAlign w:val="center"/>
          </w:tcPr>
          <w:p w14:paraId="70F38160" w14:textId="2ED35460"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2.184,70</w:t>
            </w:r>
          </w:p>
        </w:tc>
        <w:tc>
          <w:tcPr>
            <w:tcW w:w="3019" w:type="dxa"/>
            <w:shd w:val="clear" w:color="auto" w:fill="auto"/>
            <w:vAlign w:val="center"/>
          </w:tcPr>
          <w:p w14:paraId="48B746AC" w14:textId="531A093C" w:rsidR="00C70D65" w:rsidRPr="004C1D16" w:rsidRDefault="009D2538">
            <w:pPr>
              <w:spacing w:before="40" w:after="20"/>
              <w:jc w:val="right"/>
              <w:rPr>
                <w:rFonts w:ascii="Arial Narrow" w:hAnsi="Arial Narrow"/>
                <w:sz w:val="21"/>
                <w:szCs w:val="21"/>
              </w:rPr>
            </w:pPr>
            <w:r w:rsidRPr="004C1D16">
              <w:rPr>
                <w:rFonts w:ascii="Arial Narrow" w:hAnsi="Arial Narrow"/>
                <w:sz w:val="21"/>
                <w:szCs w:val="21"/>
              </w:rPr>
              <w:t>1.977,80</w:t>
            </w:r>
          </w:p>
        </w:tc>
      </w:tr>
      <w:tr w:rsidR="00C70D65" w:rsidRPr="004C1D16" w14:paraId="4D70CEA8" w14:textId="77777777" w:rsidTr="00E83D14">
        <w:trPr>
          <w:trHeight w:val="255"/>
        </w:trPr>
        <w:tc>
          <w:tcPr>
            <w:tcW w:w="4169" w:type="dxa"/>
            <w:shd w:val="clear" w:color="auto" w:fill="auto"/>
            <w:vAlign w:val="center"/>
          </w:tcPr>
          <w:p w14:paraId="5327E6D3"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6</w:t>
            </w:r>
          </w:p>
        </w:tc>
        <w:tc>
          <w:tcPr>
            <w:tcW w:w="3018" w:type="dxa"/>
            <w:shd w:val="clear" w:color="auto" w:fill="D9D9D9"/>
            <w:vAlign w:val="center"/>
          </w:tcPr>
          <w:p w14:paraId="3CCF17BA" w14:textId="7261EF9C"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2.498,30</w:t>
            </w:r>
          </w:p>
        </w:tc>
        <w:tc>
          <w:tcPr>
            <w:tcW w:w="3019" w:type="dxa"/>
            <w:shd w:val="clear" w:color="auto" w:fill="auto"/>
            <w:vAlign w:val="center"/>
          </w:tcPr>
          <w:p w14:paraId="6FCE03B3" w14:textId="0E479578"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2.</w:t>
            </w:r>
            <w:r w:rsidR="009D2538" w:rsidRPr="004C1D16">
              <w:rPr>
                <w:rFonts w:ascii="Arial Narrow" w:hAnsi="Arial Narrow"/>
                <w:sz w:val="21"/>
                <w:szCs w:val="21"/>
              </w:rPr>
              <w:t>271</w:t>
            </w:r>
            <w:r w:rsidRPr="004C1D16">
              <w:rPr>
                <w:rFonts w:ascii="Arial Narrow" w:hAnsi="Arial Narrow"/>
                <w:sz w:val="21"/>
                <w:szCs w:val="21"/>
              </w:rPr>
              <w:t>,</w:t>
            </w:r>
            <w:r w:rsidR="009D2538" w:rsidRPr="004C1D16">
              <w:rPr>
                <w:rFonts w:ascii="Arial Narrow" w:hAnsi="Arial Narrow"/>
                <w:sz w:val="21"/>
                <w:szCs w:val="21"/>
              </w:rPr>
              <w:t>53</w:t>
            </w:r>
          </w:p>
        </w:tc>
      </w:tr>
      <w:tr w:rsidR="00C70D65" w:rsidRPr="004C1D16" w14:paraId="30B7FE48" w14:textId="77777777" w:rsidTr="00E83D14">
        <w:trPr>
          <w:trHeight w:val="255"/>
        </w:trPr>
        <w:tc>
          <w:tcPr>
            <w:tcW w:w="4169" w:type="dxa"/>
            <w:shd w:val="clear" w:color="auto" w:fill="auto"/>
            <w:vAlign w:val="center"/>
          </w:tcPr>
          <w:p w14:paraId="7BB4DAC5"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7</w:t>
            </w:r>
          </w:p>
        </w:tc>
        <w:tc>
          <w:tcPr>
            <w:tcW w:w="3018" w:type="dxa"/>
            <w:shd w:val="clear" w:color="auto" w:fill="D9D9D9"/>
            <w:vAlign w:val="center"/>
          </w:tcPr>
          <w:p w14:paraId="6439AC4E" w14:textId="48118BBF"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2.901,17</w:t>
            </w:r>
          </w:p>
        </w:tc>
        <w:tc>
          <w:tcPr>
            <w:tcW w:w="3019" w:type="dxa"/>
            <w:shd w:val="clear" w:color="auto" w:fill="auto"/>
            <w:vAlign w:val="center"/>
          </w:tcPr>
          <w:p w14:paraId="13940607" w14:textId="55CFBC85"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2.</w:t>
            </w:r>
            <w:r w:rsidR="009D2538" w:rsidRPr="004C1D16">
              <w:rPr>
                <w:rFonts w:ascii="Arial Narrow" w:hAnsi="Arial Narrow"/>
                <w:sz w:val="21"/>
                <w:szCs w:val="21"/>
              </w:rPr>
              <w:t>640</w:t>
            </w:r>
            <w:r w:rsidRPr="004C1D16">
              <w:rPr>
                <w:rFonts w:ascii="Arial Narrow" w:hAnsi="Arial Narrow"/>
                <w:sz w:val="21"/>
                <w:szCs w:val="21"/>
              </w:rPr>
              <w:t>,</w:t>
            </w:r>
            <w:r w:rsidR="009D2538" w:rsidRPr="004C1D16">
              <w:rPr>
                <w:rFonts w:ascii="Arial Narrow" w:hAnsi="Arial Narrow"/>
                <w:sz w:val="21"/>
                <w:szCs w:val="21"/>
              </w:rPr>
              <w:t>95</w:t>
            </w:r>
          </w:p>
        </w:tc>
      </w:tr>
      <w:tr w:rsidR="008974B3" w:rsidRPr="004C1D16" w14:paraId="40B832DA" w14:textId="77777777" w:rsidTr="00E83D14">
        <w:trPr>
          <w:trHeight w:val="255"/>
        </w:trPr>
        <w:tc>
          <w:tcPr>
            <w:tcW w:w="4169" w:type="dxa"/>
            <w:shd w:val="clear" w:color="auto" w:fill="auto"/>
            <w:vAlign w:val="center"/>
          </w:tcPr>
          <w:p w14:paraId="1DA2CB6D"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8</w:t>
            </w:r>
          </w:p>
        </w:tc>
        <w:tc>
          <w:tcPr>
            <w:tcW w:w="3018" w:type="dxa"/>
            <w:shd w:val="clear" w:color="auto" w:fill="D9D9D9"/>
            <w:vAlign w:val="center"/>
          </w:tcPr>
          <w:p w14:paraId="0962E214" w14:textId="60143425"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3.481,93</w:t>
            </w:r>
          </w:p>
        </w:tc>
        <w:tc>
          <w:tcPr>
            <w:tcW w:w="3019" w:type="dxa"/>
            <w:shd w:val="clear" w:color="auto" w:fill="auto"/>
            <w:vAlign w:val="center"/>
          </w:tcPr>
          <w:p w14:paraId="3187C5B3" w14:textId="174830E9"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3.</w:t>
            </w:r>
            <w:r w:rsidR="009D2538" w:rsidRPr="004C1D16">
              <w:rPr>
                <w:rFonts w:ascii="Arial Narrow" w:hAnsi="Arial Narrow"/>
                <w:sz w:val="21"/>
                <w:szCs w:val="21"/>
              </w:rPr>
              <w:t>17</w:t>
            </w:r>
            <w:r w:rsidRPr="004C1D16">
              <w:rPr>
                <w:rFonts w:ascii="Arial Narrow" w:hAnsi="Arial Narrow"/>
                <w:sz w:val="21"/>
                <w:szCs w:val="21"/>
              </w:rPr>
              <w:t>1,</w:t>
            </w:r>
            <w:r w:rsidR="009D2538" w:rsidRPr="004C1D16">
              <w:rPr>
                <w:rFonts w:ascii="Arial Narrow" w:hAnsi="Arial Narrow"/>
                <w:sz w:val="21"/>
                <w:szCs w:val="21"/>
              </w:rPr>
              <w:t>17</w:t>
            </w:r>
          </w:p>
        </w:tc>
      </w:tr>
      <w:tr w:rsidR="008974B3" w:rsidRPr="004C1D16" w14:paraId="440777B3" w14:textId="77777777" w:rsidTr="00E83D14">
        <w:trPr>
          <w:trHeight w:val="255"/>
        </w:trPr>
        <w:tc>
          <w:tcPr>
            <w:tcW w:w="4169" w:type="dxa"/>
            <w:shd w:val="clear" w:color="auto" w:fill="auto"/>
            <w:vAlign w:val="center"/>
          </w:tcPr>
          <w:p w14:paraId="7583B254" w14:textId="77777777" w:rsidR="00C70D65" w:rsidRPr="004C1D16" w:rsidRDefault="00C70D65">
            <w:pPr>
              <w:spacing w:before="40" w:after="20"/>
              <w:ind w:left="356"/>
              <w:rPr>
                <w:rFonts w:ascii="Arial Narrow" w:hAnsi="Arial Narrow" w:cs="Arial"/>
                <w:sz w:val="21"/>
                <w:szCs w:val="21"/>
              </w:rPr>
            </w:pPr>
            <w:r w:rsidRPr="004C1D16">
              <w:rPr>
                <w:rFonts w:ascii="Arial Narrow" w:hAnsi="Arial Narrow" w:cs="Arial"/>
                <w:sz w:val="21"/>
                <w:szCs w:val="21"/>
              </w:rPr>
              <w:t>9</w:t>
            </w:r>
          </w:p>
        </w:tc>
        <w:tc>
          <w:tcPr>
            <w:tcW w:w="3018" w:type="dxa"/>
            <w:shd w:val="clear" w:color="auto" w:fill="D9D9D9"/>
            <w:vAlign w:val="center"/>
          </w:tcPr>
          <w:p w14:paraId="585D3840" w14:textId="54F35F13" w:rsidR="00C70D65" w:rsidRPr="004C1D16" w:rsidRDefault="00C70D65">
            <w:pPr>
              <w:spacing w:before="40" w:after="20"/>
              <w:jc w:val="right"/>
              <w:rPr>
                <w:rFonts w:ascii="Arial Narrow" w:hAnsi="Arial Narrow"/>
                <w:color w:val="000000"/>
                <w:sz w:val="21"/>
                <w:szCs w:val="21"/>
              </w:rPr>
            </w:pPr>
            <w:r w:rsidRPr="004C1D16">
              <w:rPr>
                <w:rFonts w:ascii="Arial Narrow" w:hAnsi="Arial Narrow"/>
                <w:color w:val="000000"/>
                <w:sz w:val="21"/>
                <w:szCs w:val="21"/>
              </w:rPr>
              <w:t>4.479,42</w:t>
            </w:r>
          </w:p>
        </w:tc>
        <w:tc>
          <w:tcPr>
            <w:tcW w:w="3019" w:type="dxa"/>
            <w:shd w:val="clear" w:color="auto" w:fill="auto"/>
            <w:vAlign w:val="center"/>
          </w:tcPr>
          <w:p w14:paraId="0B43D322" w14:textId="08D431E8" w:rsidR="00C70D65" w:rsidRPr="004C1D16" w:rsidRDefault="00C70D65">
            <w:pPr>
              <w:spacing w:before="40" w:after="20"/>
              <w:jc w:val="right"/>
              <w:rPr>
                <w:rFonts w:ascii="Arial Narrow" w:hAnsi="Arial Narrow"/>
                <w:sz w:val="21"/>
                <w:szCs w:val="21"/>
              </w:rPr>
            </w:pPr>
            <w:r w:rsidRPr="004C1D16">
              <w:rPr>
                <w:rFonts w:ascii="Arial Narrow" w:hAnsi="Arial Narrow"/>
                <w:sz w:val="21"/>
                <w:szCs w:val="21"/>
              </w:rPr>
              <w:t>4.</w:t>
            </w:r>
            <w:r w:rsidR="009D2538" w:rsidRPr="004C1D16">
              <w:rPr>
                <w:rFonts w:ascii="Arial Narrow" w:hAnsi="Arial Narrow"/>
                <w:sz w:val="21"/>
                <w:szCs w:val="21"/>
              </w:rPr>
              <w:t>107</w:t>
            </w:r>
            <w:r w:rsidRPr="004C1D16">
              <w:rPr>
                <w:rFonts w:ascii="Arial Narrow" w:hAnsi="Arial Narrow"/>
                <w:sz w:val="21"/>
                <w:szCs w:val="21"/>
              </w:rPr>
              <w:t>,</w:t>
            </w:r>
            <w:r w:rsidR="009D2538" w:rsidRPr="004C1D16">
              <w:rPr>
                <w:rFonts w:ascii="Arial Narrow" w:hAnsi="Arial Narrow"/>
                <w:sz w:val="21"/>
                <w:szCs w:val="21"/>
              </w:rPr>
              <w:t>55</w:t>
            </w:r>
          </w:p>
        </w:tc>
      </w:tr>
    </w:tbl>
    <w:p w14:paraId="04735048" w14:textId="77777777" w:rsidR="002E4A2E" w:rsidRPr="004C1D16" w:rsidRDefault="002E4A2E" w:rsidP="002E4A2E">
      <w:pPr>
        <w:autoSpaceDE w:val="0"/>
        <w:autoSpaceDN w:val="0"/>
        <w:adjustRightInd w:val="0"/>
        <w:spacing w:after="120"/>
        <w:jc w:val="both"/>
        <w:rPr>
          <w:rFonts w:ascii="Arial" w:hAnsi="Arial" w:cs="Arial"/>
          <w:b/>
          <w:bCs/>
          <w:color w:val="1F497D" w:themeColor="text2"/>
          <w:sz w:val="21"/>
          <w:szCs w:val="21"/>
        </w:rPr>
      </w:pPr>
    </w:p>
    <w:p w14:paraId="56DB7B20" w14:textId="1185A603" w:rsidR="002E4A2E" w:rsidRPr="004C1D16" w:rsidRDefault="002E4A2E" w:rsidP="002E4A2E">
      <w:pPr>
        <w:autoSpaceDE w:val="0"/>
        <w:autoSpaceDN w:val="0"/>
        <w:adjustRightInd w:val="0"/>
        <w:spacing w:after="120"/>
        <w:jc w:val="both"/>
        <w:rPr>
          <w:rFonts w:ascii="Arial" w:hAnsi="Arial" w:cs="Arial"/>
          <w:bCs/>
          <w:sz w:val="21"/>
          <w:szCs w:val="21"/>
        </w:rPr>
      </w:pPr>
      <w:r w:rsidRPr="004C1D16">
        <w:rPr>
          <w:rFonts w:ascii="Arial" w:hAnsi="Arial" w:cs="Arial"/>
          <w:b/>
          <w:bCs/>
          <w:color w:val="1F497D" w:themeColor="text2"/>
          <w:sz w:val="21"/>
          <w:szCs w:val="21"/>
        </w:rPr>
        <w:t xml:space="preserve">Spesa equivalente: </w:t>
      </w:r>
      <w:r w:rsidRPr="004C1D16">
        <w:rPr>
          <w:rFonts w:ascii="Arial" w:hAnsi="Arial" w:cs="Arial"/>
          <w:bCs/>
          <w:sz w:val="21"/>
          <w:szCs w:val="21"/>
        </w:rPr>
        <w:t>è calcolata dividendo il valore della spesa familiare per un opportuno coefficiente di correzione (scala di equivalenza), che permette di tener conto dell’effetto delle economie di scala e di rendere direttamente confrontabili i livelli di spesa di famiglie di ampiezza diversa.</w:t>
      </w:r>
    </w:p>
    <w:p w14:paraId="3D0F5178" w14:textId="77777777" w:rsidR="002E4A2E" w:rsidRPr="004C1D16" w:rsidRDefault="002E4A2E" w:rsidP="002E4A2E">
      <w:pPr>
        <w:autoSpaceDE w:val="0"/>
        <w:autoSpaceDN w:val="0"/>
        <w:adjustRightInd w:val="0"/>
        <w:spacing w:after="120"/>
        <w:jc w:val="both"/>
        <w:rPr>
          <w:rFonts w:ascii="Arial" w:hAnsi="Arial" w:cs="Arial"/>
          <w:bCs/>
          <w:sz w:val="21"/>
          <w:szCs w:val="21"/>
        </w:rPr>
      </w:pPr>
      <w:r w:rsidRPr="004C1D16">
        <w:rPr>
          <w:rFonts w:ascii="Arial" w:hAnsi="Arial" w:cs="Arial"/>
          <w:b/>
          <w:bCs/>
          <w:color w:val="1F497D" w:themeColor="text2"/>
          <w:sz w:val="21"/>
          <w:szCs w:val="21"/>
        </w:rPr>
        <w:t xml:space="preserve">Scala di equivalenza: </w:t>
      </w:r>
      <w:r w:rsidRPr="004C1D16">
        <w:rPr>
          <w:rFonts w:ascii="Arial" w:hAnsi="Arial" w:cs="Arial"/>
          <w:bCs/>
          <w:sz w:val="21"/>
          <w:szCs w:val="21"/>
        </w:rPr>
        <w:t xml:space="preserve">per confrontare le spese delle famiglie è necessario tenere conto dei diversi bisogni associati alle diverse ampiezze familiari. Tuttavia, l’effetto delle economie di scala fa sì che i costi che una famiglia deve sostenere non siano perfettamente proporzionali al numero dei componenti. Per esempio, la </w:t>
      </w:r>
      <w:r w:rsidRPr="004C1D16">
        <w:rPr>
          <w:rFonts w:ascii="Arial" w:hAnsi="Arial" w:cs="Arial"/>
          <w:bCs/>
          <w:sz w:val="21"/>
          <w:szCs w:val="21"/>
        </w:rPr>
        <w:lastRenderedPageBreak/>
        <w:t>bolletta del gas di una famiglia di quattro persone non è pari normalmente a quattro volte la spesa di una persona sola, ma risulta generalmente inferiore. Tecnicamente, una scala di equivalenza è un insieme di valori che vengono utilizzati per dividere la spesa familiare in modo da ottenere una spesa ‘equivalente’, che renda cioè direttamente confrontabili i livelli di spesa di famiglie di ampiezza diversa. Nel presente Report si utilizza la scala di equivalenza Carbonaro, che rende le spese delle famiglie di differente numerosità comparabili con la spesa di una famiglia di due componenti.</w:t>
      </w:r>
    </w:p>
    <w:p w14:paraId="3A549DEE" w14:textId="77777777" w:rsidR="00150683" w:rsidRPr="004C1D16" w:rsidRDefault="00150683" w:rsidP="002F218B">
      <w:pPr>
        <w:pStyle w:val="Titolo7"/>
        <w:spacing w:before="0" w:after="120"/>
        <w:rPr>
          <w:rFonts w:ascii="Arial Narrow" w:eastAsia="Times New Roman" w:hAnsi="Arial Narrow" w:cs="Arial"/>
          <w:b/>
          <w:i w:val="0"/>
          <w:noProof/>
          <w:color w:val="1F497D" w:themeColor="text2"/>
          <w:sz w:val="21"/>
          <w:szCs w:val="21"/>
        </w:rPr>
      </w:pPr>
    </w:p>
    <w:p w14:paraId="0415FDBF" w14:textId="77777777" w:rsidR="002F218B" w:rsidRPr="004C1D16" w:rsidRDefault="002F218B" w:rsidP="002F218B">
      <w:pPr>
        <w:pStyle w:val="Titolo7"/>
        <w:spacing w:before="0" w:after="120"/>
        <w:rPr>
          <w:rFonts w:ascii="Arial Narrow" w:eastAsia="Times New Roman" w:hAnsi="Arial Narrow" w:cs="Arial"/>
          <w:b/>
          <w:i w:val="0"/>
          <w:noProof/>
          <w:color w:val="1F497D" w:themeColor="text2"/>
          <w:sz w:val="21"/>
          <w:szCs w:val="21"/>
        </w:rPr>
      </w:pPr>
      <w:r w:rsidRPr="004C1D16">
        <w:rPr>
          <w:rFonts w:ascii="Arial Narrow" w:eastAsia="Times New Roman" w:hAnsi="Arial Narrow" w:cs="Arial"/>
          <w:b/>
          <w:i w:val="0"/>
          <w:noProof/>
          <w:color w:val="1F497D" w:themeColor="text2"/>
          <w:sz w:val="21"/>
          <w:szCs w:val="21"/>
        </w:rPr>
        <w:t>SCALA DI EQUIVALENZA CARBONARO</w:t>
      </w:r>
    </w:p>
    <w:tbl>
      <w:tblPr>
        <w:tblW w:w="9891"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5354"/>
        <w:gridCol w:w="4537"/>
      </w:tblGrid>
      <w:tr w:rsidR="002F218B" w:rsidRPr="004C1D16" w14:paraId="3B828B4B" w14:textId="77777777" w:rsidTr="00150683">
        <w:trPr>
          <w:trHeight w:val="265"/>
          <w:jc w:val="center"/>
        </w:trPr>
        <w:tc>
          <w:tcPr>
            <w:tcW w:w="5354" w:type="dxa"/>
            <w:shd w:val="clear" w:color="auto" w:fill="1F497D"/>
            <w:vAlign w:val="center"/>
          </w:tcPr>
          <w:p w14:paraId="5AB44A53" w14:textId="14B2CD48" w:rsidR="002F218B" w:rsidRPr="004C1D16" w:rsidRDefault="00B52F2F">
            <w:pPr>
              <w:spacing w:before="40" w:after="20"/>
              <w:ind w:right="31"/>
              <w:jc w:val="center"/>
              <w:rPr>
                <w:rFonts w:ascii="Arial Narrow" w:hAnsi="Arial Narrow" w:cs="Arial"/>
                <w:b/>
                <w:color w:val="FFFFFF" w:themeColor="background1"/>
                <w:sz w:val="21"/>
                <w:szCs w:val="21"/>
              </w:rPr>
            </w:pPr>
            <w:r w:rsidRPr="004C1D16">
              <w:rPr>
                <w:rFonts w:ascii="Arial Narrow" w:hAnsi="Arial Narrow" w:cs="Arial"/>
                <w:b/>
                <w:color w:val="FFFFFF" w:themeColor="background1"/>
                <w:sz w:val="21"/>
                <w:szCs w:val="21"/>
              </w:rPr>
              <w:t>AMPIEZZA DELLA FAMIGLIA</w:t>
            </w:r>
          </w:p>
        </w:tc>
        <w:tc>
          <w:tcPr>
            <w:tcW w:w="4537" w:type="dxa"/>
            <w:shd w:val="clear" w:color="auto" w:fill="1F497D"/>
            <w:vAlign w:val="center"/>
          </w:tcPr>
          <w:p w14:paraId="519425FF" w14:textId="22AFC545" w:rsidR="002F218B" w:rsidRPr="004C1D16" w:rsidRDefault="00B52F2F">
            <w:pPr>
              <w:spacing w:before="40" w:after="20"/>
              <w:ind w:right="31"/>
              <w:jc w:val="center"/>
              <w:rPr>
                <w:rFonts w:ascii="Arial Narrow" w:hAnsi="Arial Narrow" w:cs="Arial"/>
                <w:b/>
                <w:color w:val="FFFFFF" w:themeColor="background1"/>
                <w:sz w:val="21"/>
                <w:szCs w:val="21"/>
              </w:rPr>
            </w:pPr>
            <w:r w:rsidRPr="004C1D16">
              <w:rPr>
                <w:rFonts w:ascii="Arial Narrow" w:hAnsi="Arial Narrow" w:cs="Arial"/>
                <w:b/>
                <w:color w:val="FFFFFF" w:themeColor="background1"/>
                <w:sz w:val="21"/>
                <w:szCs w:val="21"/>
              </w:rPr>
              <w:t>COEFFICIENTE</w:t>
            </w:r>
          </w:p>
        </w:tc>
      </w:tr>
      <w:tr w:rsidR="002F218B" w:rsidRPr="004C1D16" w14:paraId="147C1D8C" w14:textId="77777777" w:rsidTr="00150683">
        <w:trPr>
          <w:trHeight w:val="265"/>
          <w:jc w:val="center"/>
        </w:trPr>
        <w:tc>
          <w:tcPr>
            <w:tcW w:w="5354" w:type="dxa"/>
            <w:shd w:val="clear" w:color="auto" w:fill="auto"/>
            <w:vAlign w:val="center"/>
          </w:tcPr>
          <w:p w14:paraId="1A26860E"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1</w:t>
            </w:r>
          </w:p>
        </w:tc>
        <w:tc>
          <w:tcPr>
            <w:tcW w:w="4537" w:type="dxa"/>
            <w:shd w:val="clear" w:color="auto" w:fill="E6E6E6"/>
            <w:vAlign w:val="center"/>
          </w:tcPr>
          <w:p w14:paraId="52F17757"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0,60</w:t>
            </w:r>
          </w:p>
        </w:tc>
      </w:tr>
      <w:tr w:rsidR="002F218B" w:rsidRPr="004C1D16" w14:paraId="7CC52177" w14:textId="77777777" w:rsidTr="00150683">
        <w:trPr>
          <w:trHeight w:val="265"/>
          <w:jc w:val="center"/>
        </w:trPr>
        <w:tc>
          <w:tcPr>
            <w:tcW w:w="5354" w:type="dxa"/>
            <w:shd w:val="clear" w:color="auto" w:fill="auto"/>
            <w:vAlign w:val="center"/>
          </w:tcPr>
          <w:p w14:paraId="78864EA2"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2</w:t>
            </w:r>
          </w:p>
        </w:tc>
        <w:tc>
          <w:tcPr>
            <w:tcW w:w="4537" w:type="dxa"/>
            <w:shd w:val="clear" w:color="auto" w:fill="E6E6E6"/>
            <w:vAlign w:val="center"/>
          </w:tcPr>
          <w:p w14:paraId="5383A7B1"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1,00</w:t>
            </w:r>
          </w:p>
        </w:tc>
      </w:tr>
      <w:tr w:rsidR="002F218B" w:rsidRPr="004C1D16" w14:paraId="6C3BEFBA" w14:textId="77777777" w:rsidTr="00150683">
        <w:trPr>
          <w:trHeight w:val="265"/>
          <w:jc w:val="center"/>
        </w:trPr>
        <w:tc>
          <w:tcPr>
            <w:tcW w:w="5354" w:type="dxa"/>
            <w:shd w:val="clear" w:color="auto" w:fill="auto"/>
            <w:vAlign w:val="center"/>
          </w:tcPr>
          <w:p w14:paraId="31A1CF36"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3</w:t>
            </w:r>
          </w:p>
        </w:tc>
        <w:tc>
          <w:tcPr>
            <w:tcW w:w="4537" w:type="dxa"/>
            <w:shd w:val="clear" w:color="auto" w:fill="E6E6E6"/>
            <w:vAlign w:val="center"/>
          </w:tcPr>
          <w:p w14:paraId="2797238F"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1,33</w:t>
            </w:r>
          </w:p>
        </w:tc>
      </w:tr>
      <w:tr w:rsidR="002F218B" w:rsidRPr="004C1D16" w14:paraId="33FCECA9" w14:textId="77777777" w:rsidTr="00150683">
        <w:trPr>
          <w:trHeight w:val="265"/>
          <w:jc w:val="center"/>
        </w:trPr>
        <w:tc>
          <w:tcPr>
            <w:tcW w:w="5354" w:type="dxa"/>
            <w:shd w:val="clear" w:color="auto" w:fill="auto"/>
            <w:vAlign w:val="center"/>
          </w:tcPr>
          <w:p w14:paraId="5268970C"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4</w:t>
            </w:r>
          </w:p>
        </w:tc>
        <w:tc>
          <w:tcPr>
            <w:tcW w:w="4537" w:type="dxa"/>
            <w:shd w:val="clear" w:color="auto" w:fill="E6E6E6"/>
            <w:vAlign w:val="center"/>
          </w:tcPr>
          <w:p w14:paraId="11779788"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1,63</w:t>
            </w:r>
          </w:p>
        </w:tc>
      </w:tr>
      <w:tr w:rsidR="002F218B" w:rsidRPr="004C1D16" w14:paraId="36FB024C" w14:textId="77777777" w:rsidTr="00150683">
        <w:trPr>
          <w:trHeight w:val="265"/>
          <w:jc w:val="center"/>
        </w:trPr>
        <w:tc>
          <w:tcPr>
            <w:tcW w:w="5354" w:type="dxa"/>
            <w:shd w:val="clear" w:color="auto" w:fill="auto"/>
            <w:vAlign w:val="center"/>
          </w:tcPr>
          <w:p w14:paraId="090FE857"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5</w:t>
            </w:r>
          </w:p>
        </w:tc>
        <w:tc>
          <w:tcPr>
            <w:tcW w:w="4537" w:type="dxa"/>
            <w:shd w:val="clear" w:color="auto" w:fill="E6E6E6"/>
            <w:vAlign w:val="center"/>
          </w:tcPr>
          <w:p w14:paraId="4250F605"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1,90</w:t>
            </w:r>
          </w:p>
        </w:tc>
      </w:tr>
      <w:tr w:rsidR="002F218B" w:rsidRPr="004C1D16" w14:paraId="4E5BCEAC" w14:textId="77777777" w:rsidTr="00150683">
        <w:trPr>
          <w:trHeight w:val="265"/>
          <w:jc w:val="center"/>
        </w:trPr>
        <w:tc>
          <w:tcPr>
            <w:tcW w:w="5354" w:type="dxa"/>
            <w:shd w:val="clear" w:color="auto" w:fill="auto"/>
            <w:vAlign w:val="center"/>
          </w:tcPr>
          <w:p w14:paraId="5693E756"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6</w:t>
            </w:r>
          </w:p>
        </w:tc>
        <w:tc>
          <w:tcPr>
            <w:tcW w:w="4537" w:type="dxa"/>
            <w:shd w:val="clear" w:color="auto" w:fill="E6E6E6"/>
            <w:vAlign w:val="center"/>
          </w:tcPr>
          <w:p w14:paraId="031EC442"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2,16</w:t>
            </w:r>
          </w:p>
        </w:tc>
      </w:tr>
      <w:tr w:rsidR="002F218B" w:rsidRPr="004C1D16" w14:paraId="46CAC5E2" w14:textId="77777777" w:rsidTr="00150683">
        <w:trPr>
          <w:trHeight w:val="265"/>
          <w:jc w:val="center"/>
        </w:trPr>
        <w:tc>
          <w:tcPr>
            <w:tcW w:w="5354" w:type="dxa"/>
            <w:shd w:val="clear" w:color="auto" w:fill="auto"/>
            <w:vAlign w:val="center"/>
          </w:tcPr>
          <w:p w14:paraId="33148D41" w14:textId="77777777" w:rsidR="002F218B" w:rsidRPr="004C1D16" w:rsidRDefault="002F218B">
            <w:pPr>
              <w:spacing w:before="40" w:after="20"/>
              <w:ind w:left="-41"/>
              <w:jc w:val="center"/>
              <w:rPr>
                <w:rFonts w:ascii="Arial Narrow" w:hAnsi="Arial Narrow" w:cs="Arial"/>
                <w:sz w:val="21"/>
                <w:szCs w:val="21"/>
              </w:rPr>
            </w:pPr>
            <w:r w:rsidRPr="004C1D16">
              <w:rPr>
                <w:rFonts w:ascii="Arial Narrow" w:hAnsi="Arial Narrow" w:cs="Arial"/>
                <w:sz w:val="21"/>
                <w:szCs w:val="21"/>
              </w:rPr>
              <w:t>7 o più</w:t>
            </w:r>
          </w:p>
        </w:tc>
        <w:tc>
          <w:tcPr>
            <w:tcW w:w="4537" w:type="dxa"/>
            <w:shd w:val="clear" w:color="auto" w:fill="E6E6E6"/>
            <w:vAlign w:val="center"/>
          </w:tcPr>
          <w:p w14:paraId="367BCF41" w14:textId="77777777" w:rsidR="002F218B" w:rsidRPr="004C1D16" w:rsidRDefault="002F218B">
            <w:pPr>
              <w:spacing w:before="40" w:after="20"/>
              <w:jc w:val="center"/>
              <w:rPr>
                <w:rFonts w:ascii="Arial Narrow" w:hAnsi="Arial Narrow" w:cs="Arial"/>
                <w:sz w:val="21"/>
                <w:szCs w:val="21"/>
              </w:rPr>
            </w:pPr>
            <w:r w:rsidRPr="004C1D16">
              <w:rPr>
                <w:rFonts w:ascii="Arial Narrow" w:hAnsi="Arial Narrow" w:cs="Arial"/>
                <w:sz w:val="21"/>
                <w:szCs w:val="21"/>
              </w:rPr>
              <w:t>2,40</w:t>
            </w:r>
          </w:p>
        </w:tc>
      </w:tr>
    </w:tbl>
    <w:p w14:paraId="7B68D957" w14:textId="77777777" w:rsidR="0045351B" w:rsidRPr="004C1D16" w:rsidRDefault="0045351B" w:rsidP="00D91ECF">
      <w:pPr>
        <w:pStyle w:val="Titolo3"/>
        <w:spacing w:before="0" w:beforeAutospacing="0" w:after="120" w:afterAutospacing="0"/>
        <w:rPr>
          <w:rFonts w:ascii="Arial" w:hAnsi="Arial" w:cs="Arial"/>
          <w:b w:val="0"/>
          <w:color w:val="1F497D" w:themeColor="text2"/>
          <w:sz w:val="21"/>
          <w:szCs w:val="21"/>
        </w:rPr>
      </w:pPr>
    </w:p>
    <w:p w14:paraId="3CD63EB2" w14:textId="77777777" w:rsidR="00BE2E68" w:rsidRPr="004C1D16" w:rsidRDefault="00BE2E68" w:rsidP="00132A04">
      <w:pPr>
        <w:pStyle w:val="Titolo3"/>
        <w:spacing w:before="0" w:beforeAutospacing="0" w:after="120" w:afterAutospacing="0"/>
        <w:rPr>
          <w:rFonts w:ascii="Georgia" w:hAnsi="Georgia" w:cs="Arial"/>
          <w:b w:val="0"/>
          <w:color w:val="1F497D" w:themeColor="text2"/>
          <w:sz w:val="21"/>
          <w:szCs w:val="21"/>
        </w:rPr>
      </w:pPr>
    </w:p>
    <w:p w14:paraId="4C9BE3BF" w14:textId="137CFBD8" w:rsidR="00BE2E68" w:rsidRPr="00C7564D" w:rsidRDefault="00CF07FC" w:rsidP="00C7564D">
      <w:pPr>
        <w:pStyle w:val="Titolo3"/>
        <w:spacing w:before="0" w:beforeAutospacing="0" w:after="120" w:afterAutospacing="0" w:line="360" w:lineRule="auto"/>
        <w:rPr>
          <w:rFonts w:ascii="Georgia" w:hAnsi="Georgia" w:cs="Arial"/>
          <w:b w:val="0"/>
          <w:color w:val="1F497D" w:themeColor="text2"/>
          <w:sz w:val="48"/>
          <w:szCs w:val="48"/>
        </w:rPr>
      </w:pPr>
      <w:r w:rsidRPr="00C7564D">
        <w:rPr>
          <w:rFonts w:ascii="Georgia" w:hAnsi="Georgia" w:cs="Arial"/>
          <w:b w:val="0"/>
          <w:color w:val="1F497D" w:themeColor="text2"/>
          <w:sz w:val="48"/>
          <w:szCs w:val="48"/>
        </w:rPr>
        <w:t>Nota metodologica</w:t>
      </w:r>
    </w:p>
    <w:p w14:paraId="55ACB9DD" w14:textId="77777777" w:rsidR="004C1D16" w:rsidRDefault="004C1D16" w:rsidP="00952267">
      <w:pPr>
        <w:spacing w:after="120"/>
        <w:jc w:val="both"/>
        <w:rPr>
          <w:rFonts w:ascii="Arial" w:hAnsi="Arial" w:cs="Arial"/>
          <w:b/>
          <w:color w:val="1F497D"/>
          <w:sz w:val="21"/>
          <w:szCs w:val="21"/>
        </w:rPr>
      </w:pPr>
    </w:p>
    <w:p w14:paraId="03313789" w14:textId="574CE313" w:rsidR="00952267" w:rsidRPr="004C1D16" w:rsidRDefault="004451EE" w:rsidP="00952267">
      <w:pPr>
        <w:spacing w:after="120"/>
        <w:jc w:val="both"/>
        <w:rPr>
          <w:rFonts w:ascii="Arial" w:hAnsi="Arial" w:cs="Arial"/>
          <w:b/>
          <w:color w:val="1F497D"/>
          <w:sz w:val="21"/>
          <w:szCs w:val="21"/>
        </w:rPr>
      </w:pPr>
      <w:r w:rsidRPr="004C1D16">
        <w:rPr>
          <w:rFonts w:ascii="Arial" w:hAnsi="Arial" w:cs="Arial"/>
          <w:b/>
          <w:color w:val="1F497D"/>
          <w:sz w:val="21"/>
          <w:szCs w:val="21"/>
        </w:rPr>
        <w:t>Obiettivi conoscitivi</w:t>
      </w:r>
    </w:p>
    <w:p w14:paraId="6448FAD9" w14:textId="77777777"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 xml:space="preserve">L'indagine sulle Spese delle famiglie ha lo scopo di rilevare la struttura e il livello della spesa per consumi secondo le principali caratteristiche sociali, economiche e territoriali delle famiglie residenti. </w:t>
      </w:r>
    </w:p>
    <w:p w14:paraId="6F3934EB" w14:textId="5ECC4AAB" w:rsidR="004451EE" w:rsidRDefault="004451EE" w:rsidP="004451EE">
      <w:pPr>
        <w:spacing w:after="120"/>
        <w:jc w:val="both"/>
        <w:rPr>
          <w:rFonts w:ascii="Arial" w:hAnsi="Arial" w:cs="Arial"/>
          <w:bCs/>
          <w:sz w:val="21"/>
          <w:szCs w:val="21"/>
        </w:rPr>
      </w:pPr>
      <w:r w:rsidRPr="004C1D16">
        <w:rPr>
          <w:rFonts w:ascii="Arial" w:hAnsi="Arial" w:cs="Arial"/>
          <w:bCs/>
          <w:sz w:val="21"/>
          <w:szCs w:val="21"/>
        </w:rPr>
        <w:t>Grazie al disegno che la caratterizza, l'indagine consente di conoscere e seguire l'evoluzione, in senso qualitativo e quantitativo, degli standard di vita e dei comportamenti di consumo delle principali tipologie familiari, in riferimento ai differenti ambiti territoriali e sociali.</w:t>
      </w:r>
    </w:p>
    <w:p w14:paraId="10490011" w14:textId="77777777" w:rsidR="004C1D16" w:rsidRPr="004C1D16" w:rsidRDefault="004C1D16" w:rsidP="004451EE">
      <w:pPr>
        <w:spacing w:after="120"/>
        <w:jc w:val="both"/>
        <w:rPr>
          <w:rFonts w:ascii="Arial" w:hAnsi="Arial" w:cs="Arial"/>
          <w:bCs/>
          <w:sz w:val="21"/>
          <w:szCs w:val="21"/>
        </w:rPr>
      </w:pPr>
    </w:p>
    <w:p w14:paraId="17BC19E0" w14:textId="26395C1A" w:rsidR="004451EE" w:rsidRPr="004C1D16" w:rsidRDefault="004451EE" w:rsidP="004451EE">
      <w:pPr>
        <w:spacing w:after="120"/>
        <w:jc w:val="both"/>
        <w:rPr>
          <w:rFonts w:ascii="Arial" w:hAnsi="Arial" w:cs="Arial"/>
          <w:b/>
          <w:color w:val="1F497D"/>
          <w:sz w:val="21"/>
          <w:szCs w:val="21"/>
        </w:rPr>
      </w:pPr>
      <w:r w:rsidRPr="004C1D16">
        <w:rPr>
          <w:rFonts w:ascii="Arial" w:hAnsi="Arial" w:cs="Arial"/>
          <w:b/>
          <w:color w:val="1F497D"/>
          <w:sz w:val="21"/>
          <w:szCs w:val="21"/>
        </w:rPr>
        <w:t>Riferimenti normativi dell’indagine</w:t>
      </w:r>
    </w:p>
    <w:p w14:paraId="018F0DFE" w14:textId="5ABB35DD"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La rilevazione di informazioni riguardanti le spese per consumi delle famiglie è prevista dal Programma statistico nazionale, che raccoglie l’insieme delle rilevazioni statistiche necessarie al Paese.</w:t>
      </w:r>
    </w:p>
    <w:p w14:paraId="7848730C" w14:textId="77777777" w:rsidR="004C1D16" w:rsidRDefault="004C1D16" w:rsidP="00952267">
      <w:pPr>
        <w:spacing w:after="120"/>
        <w:jc w:val="both"/>
        <w:rPr>
          <w:rFonts w:ascii="Arial" w:hAnsi="Arial" w:cs="Arial"/>
          <w:b/>
          <w:color w:val="1F497D"/>
          <w:sz w:val="21"/>
          <w:szCs w:val="21"/>
        </w:rPr>
      </w:pPr>
    </w:p>
    <w:p w14:paraId="77A73445" w14:textId="3C6753FA" w:rsidR="004451EE" w:rsidRDefault="004451EE" w:rsidP="00952267">
      <w:pPr>
        <w:spacing w:after="120"/>
        <w:jc w:val="both"/>
        <w:rPr>
          <w:rFonts w:ascii="Arial" w:hAnsi="Arial" w:cs="Arial"/>
          <w:b/>
          <w:color w:val="1F497D"/>
          <w:sz w:val="21"/>
          <w:szCs w:val="21"/>
        </w:rPr>
      </w:pPr>
      <w:r w:rsidRPr="004C1D16">
        <w:rPr>
          <w:rFonts w:ascii="Arial" w:hAnsi="Arial" w:cs="Arial"/>
          <w:b/>
          <w:color w:val="1F497D"/>
          <w:sz w:val="21"/>
          <w:szCs w:val="21"/>
        </w:rPr>
        <w:t xml:space="preserve">Cadenza e periodo di rilevazione </w:t>
      </w:r>
    </w:p>
    <w:p w14:paraId="239BCF11" w14:textId="5F97B403" w:rsidR="004451EE" w:rsidRPr="004C1D16" w:rsidRDefault="004451EE" w:rsidP="00952267">
      <w:pPr>
        <w:spacing w:after="120"/>
        <w:jc w:val="both"/>
        <w:rPr>
          <w:rFonts w:ascii="Arial" w:hAnsi="Arial" w:cs="Arial"/>
          <w:bCs/>
          <w:sz w:val="21"/>
          <w:szCs w:val="21"/>
        </w:rPr>
      </w:pPr>
      <w:r w:rsidRPr="004C1D16">
        <w:rPr>
          <w:rFonts w:ascii="Arial" w:hAnsi="Arial" w:cs="Arial"/>
          <w:bCs/>
          <w:sz w:val="21"/>
          <w:szCs w:val="21"/>
        </w:rPr>
        <w:t>L’indagine è di tipo campionario ed è continua ogni mese dell’anno.</w:t>
      </w:r>
    </w:p>
    <w:p w14:paraId="0E727DD6" w14:textId="77777777" w:rsidR="004C1D16" w:rsidRDefault="004C1D16" w:rsidP="00952267">
      <w:pPr>
        <w:spacing w:after="120"/>
        <w:jc w:val="both"/>
        <w:rPr>
          <w:rFonts w:ascii="Arial" w:hAnsi="Arial" w:cs="Arial"/>
          <w:b/>
          <w:color w:val="1F497D"/>
          <w:sz w:val="21"/>
          <w:szCs w:val="21"/>
        </w:rPr>
      </w:pPr>
    </w:p>
    <w:p w14:paraId="3BB024DF" w14:textId="44657BDE" w:rsidR="004451EE" w:rsidRPr="004C1D16" w:rsidRDefault="004451EE" w:rsidP="00952267">
      <w:pPr>
        <w:spacing w:after="120"/>
        <w:jc w:val="both"/>
        <w:rPr>
          <w:rFonts w:ascii="Arial" w:hAnsi="Arial" w:cs="Arial"/>
          <w:b/>
          <w:color w:val="1F497D"/>
          <w:sz w:val="21"/>
          <w:szCs w:val="21"/>
        </w:rPr>
      </w:pPr>
      <w:r w:rsidRPr="004C1D16">
        <w:rPr>
          <w:rFonts w:ascii="Arial" w:hAnsi="Arial" w:cs="Arial"/>
          <w:b/>
          <w:color w:val="1F497D"/>
          <w:sz w:val="21"/>
          <w:szCs w:val="21"/>
        </w:rPr>
        <w:t>Popolazione di riferimento</w:t>
      </w:r>
    </w:p>
    <w:p w14:paraId="044DD9B4" w14:textId="16CAA81A" w:rsidR="004451EE" w:rsidRPr="004C1D16" w:rsidRDefault="004451EE" w:rsidP="00952267">
      <w:pPr>
        <w:spacing w:after="120"/>
        <w:jc w:val="both"/>
        <w:rPr>
          <w:rFonts w:ascii="Arial" w:hAnsi="Arial" w:cs="Arial"/>
          <w:bCs/>
          <w:sz w:val="21"/>
          <w:szCs w:val="21"/>
        </w:rPr>
      </w:pPr>
      <w:r w:rsidRPr="004C1D16">
        <w:rPr>
          <w:rFonts w:ascii="Arial" w:hAnsi="Arial" w:cs="Arial"/>
          <w:bCs/>
          <w:sz w:val="21"/>
          <w:szCs w:val="21"/>
        </w:rPr>
        <w:t xml:space="preserve">La popolazione di interesse è costituita dalle famiglie residenti in Italia e dagli individui che le compongono, (sono escluse le persone che risiedono in istituti di convivenza). La famiglia è intesa come famiglia di fatto, ossia </w:t>
      </w:r>
      <w:r w:rsidR="005D1CC0" w:rsidRPr="004C1D16">
        <w:rPr>
          <w:rFonts w:ascii="Arial" w:hAnsi="Arial" w:cs="Arial"/>
          <w:bCs/>
          <w:sz w:val="21"/>
          <w:szCs w:val="21"/>
        </w:rPr>
        <w:t>l’</w:t>
      </w:r>
      <w:r w:rsidRPr="004C1D16">
        <w:rPr>
          <w:rFonts w:ascii="Arial" w:hAnsi="Arial" w:cs="Arial"/>
          <w:bCs/>
          <w:sz w:val="21"/>
          <w:szCs w:val="21"/>
        </w:rPr>
        <w:t xml:space="preserve">insieme di persone coabitanti e legate da vincoli di matrimonio, parentela, affinità, adozione, tutela o affettivi. L'indagine è condotta su un campione di </w:t>
      </w:r>
      <w:r w:rsidR="00EF7300" w:rsidRPr="004C1D16">
        <w:rPr>
          <w:rFonts w:ascii="Arial" w:hAnsi="Arial" w:cs="Arial"/>
          <w:bCs/>
          <w:sz w:val="21"/>
          <w:szCs w:val="21"/>
        </w:rPr>
        <w:t>oltre 25</w:t>
      </w:r>
      <w:r w:rsidRPr="004C1D16">
        <w:rPr>
          <w:rFonts w:ascii="Arial" w:hAnsi="Arial" w:cs="Arial"/>
          <w:bCs/>
          <w:sz w:val="21"/>
          <w:szCs w:val="21"/>
        </w:rPr>
        <w:t>mila famiglie.</w:t>
      </w:r>
      <w:r w:rsidR="00DD5EB2" w:rsidRPr="004C1D16">
        <w:rPr>
          <w:sz w:val="21"/>
          <w:szCs w:val="21"/>
        </w:rPr>
        <w:t xml:space="preserve"> </w:t>
      </w:r>
      <w:r w:rsidR="00DD5EB2" w:rsidRPr="004C1D16">
        <w:rPr>
          <w:rFonts w:ascii="Arial" w:hAnsi="Arial" w:cs="Arial"/>
          <w:bCs/>
          <w:sz w:val="21"/>
          <w:szCs w:val="21"/>
        </w:rPr>
        <w:t>La popolazione utilizzata per l’indagine 2020 è quella stimata precedentemente al rilascio dei dati di censimento 2018 e 2019 e della ricostruzione intercensuaria.</w:t>
      </w:r>
    </w:p>
    <w:p w14:paraId="59523290" w14:textId="77777777" w:rsidR="004C1D16" w:rsidRDefault="004C1D16" w:rsidP="00952267">
      <w:pPr>
        <w:spacing w:after="120"/>
        <w:jc w:val="both"/>
        <w:rPr>
          <w:rFonts w:ascii="Arial" w:hAnsi="Arial" w:cs="Arial"/>
          <w:b/>
          <w:color w:val="1F497D"/>
          <w:sz w:val="21"/>
          <w:szCs w:val="21"/>
        </w:rPr>
      </w:pPr>
    </w:p>
    <w:p w14:paraId="79C53B7F" w14:textId="79A9A80B" w:rsidR="004451EE" w:rsidRPr="004C1D16" w:rsidRDefault="004451EE" w:rsidP="00952267">
      <w:pPr>
        <w:spacing w:after="120"/>
        <w:jc w:val="both"/>
        <w:rPr>
          <w:rFonts w:ascii="Arial" w:hAnsi="Arial" w:cs="Arial"/>
          <w:b/>
          <w:color w:val="1F497D"/>
          <w:sz w:val="21"/>
          <w:szCs w:val="21"/>
        </w:rPr>
      </w:pPr>
      <w:r w:rsidRPr="004C1D16">
        <w:rPr>
          <w:rFonts w:ascii="Arial" w:hAnsi="Arial" w:cs="Arial"/>
          <w:b/>
          <w:color w:val="1F497D"/>
          <w:sz w:val="21"/>
          <w:szCs w:val="21"/>
        </w:rPr>
        <w:t>Processo e metodologie</w:t>
      </w:r>
    </w:p>
    <w:p w14:paraId="25D7C135" w14:textId="6EB90377"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 xml:space="preserve">Oggetto della rilevazione sono le spese sostenute dalle famiglie residenti per acquisire beni e servizi destinati al consumo familiare o per effettuare regali a persone esterne alla famiglia. In tale definizione rientrano anche i beni provenienti dal proprio orto o dalla propria azienda agricola direttamente consumati dalla famiglia </w:t>
      </w:r>
      <w:r w:rsidRPr="004C1D16">
        <w:rPr>
          <w:rFonts w:ascii="Arial" w:hAnsi="Arial" w:cs="Arial"/>
          <w:bCs/>
          <w:sz w:val="21"/>
          <w:szCs w:val="21"/>
        </w:rPr>
        <w:lastRenderedPageBreak/>
        <w:t>(autoconsumi) o regalati, i beni e servizi forniti dal datore di lavoro ai dipendenti a titolo di salario o per prestazioni di servizio, gli affitti stimati delle abitazioni occupate dai proprietari o godute a titolo gratuito (affitti figurativi). Ogni altra spesa effettuata dalla famiglia per scopo diverso dal consumo è esclusa dalla rilevazione (ad esempio, l'acquisto di una casa e di terreni, il pagamento delle imposte, le spese connesse con attività professionale). In particolare, oltre alle notizie che riguardano gli individui che compongono la famiglia e le caratteristiche dell'abitazione, sono rilevate le spese per generi alimentari, bevande alcoliche e tabacchi, abbigliamento e calzature, abitazione, acqua, elettricità, combustibili, mobili, articoli e servizi per la casa, servizi sanitari e spese per la salute, trasporti, comunicazioni, ricreazione, spettacoli e cultura, istruzione, servizi ricettivi e di ristorazione, altri beni e servizi. Si rileva l'ammontare complessivo della spesa al momento dell'acquisto del bene o servizio, a prescindere dal momento dell'effettivo consumo o utilizzo e dalle modalità di pagamento (per acquisti a rate o con carta di credito). L'unità di rilevazione è la famiglia di fatto, intesa come insieme di persone coabitanti, legate da vincoli di matrimonio o parentela, affinità, adozione, tutela o affettivi e che compartecipano alla spesa familiare e/o condividono il reddito familiare.</w:t>
      </w:r>
    </w:p>
    <w:p w14:paraId="08AFC6EF" w14:textId="3F884905"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La rilevazione è condotta con due diverse tecniche utilizzate nelle tre fasi di raccolta dati: a) l’intervista iniziale diretta condotta dal rilevatore in modalità CAPI (Computer Assisted Personal Interview) attraverso la quale sono rilevate le caratteristiche dei componenti della famiglia di fatto e dell’abitazione in cui vive, nonché alcune spese periodiche per l’abitazione; b) l’autocompilazione del diario cartaceo, sul quale la famiglia registra le spese alimentari e quelle per beni e servizi di largo consumo per un periodo di 14 giorni; c) l’intervista finale diretta condotta dal rilevatore sempre in modalità CAPI per rilevare le altre spese familiari.</w:t>
      </w:r>
      <w:r w:rsidR="00CE1104" w:rsidRPr="004C1D16">
        <w:rPr>
          <w:rFonts w:ascii="Arial" w:hAnsi="Arial" w:cs="Arial"/>
          <w:bCs/>
          <w:sz w:val="21"/>
          <w:szCs w:val="21"/>
        </w:rPr>
        <w:t xml:space="preserve"> A causa dell’emergenza sanitaria legata al Covid-19, per una parte del mese di marzo e per tutto il secondo trimestre del 2020, la tecnica CAPI è stata sostituita dalla tecnica CATI (Computer Assisted Telephone Interview). Nei successivi trimestri dell’anno si è invece passati all’utilizzo congiunto di entrambe le tecniche (CAPI e CATI), </w:t>
      </w:r>
      <w:r w:rsidR="005854A5" w:rsidRPr="004C1D16">
        <w:rPr>
          <w:rFonts w:ascii="Arial" w:hAnsi="Arial" w:cs="Arial"/>
          <w:bCs/>
          <w:sz w:val="21"/>
          <w:szCs w:val="21"/>
        </w:rPr>
        <w:t>con modalità di intervista scelta dalla famiglia</w:t>
      </w:r>
      <w:r w:rsidR="00CE1104" w:rsidRPr="004C1D16">
        <w:rPr>
          <w:rFonts w:ascii="Arial" w:hAnsi="Arial" w:cs="Arial"/>
          <w:bCs/>
          <w:sz w:val="21"/>
          <w:szCs w:val="21"/>
        </w:rPr>
        <w:t>.</w:t>
      </w:r>
    </w:p>
    <w:p w14:paraId="5E3243EC" w14:textId="68AB4083" w:rsidR="004451EE" w:rsidRPr="004C1D16" w:rsidRDefault="004451EE" w:rsidP="004451EE">
      <w:pPr>
        <w:spacing w:after="120"/>
        <w:jc w:val="both"/>
        <w:rPr>
          <w:rFonts w:ascii="Arial" w:hAnsi="Arial" w:cs="Arial"/>
          <w:bCs/>
          <w:sz w:val="21"/>
          <w:szCs w:val="21"/>
        </w:rPr>
      </w:pPr>
    </w:p>
    <w:p w14:paraId="13E3F5BC" w14:textId="68461702" w:rsidR="004451EE" w:rsidRPr="004C1D16" w:rsidRDefault="004451EE" w:rsidP="00952267">
      <w:pPr>
        <w:spacing w:after="120"/>
        <w:jc w:val="both"/>
        <w:rPr>
          <w:rFonts w:ascii="Arial" w:hAnsi="Arial" w:cs="Arial"/>
          <w:b/>
          <w:color w:val="1F497D"/>
          <w:sz w:val="21"/>
          <w:szCs w:val="21"/>
        </w:rPr>
      </w:pPr>
      <w:r w:rsidRPr="004C1D16">
        <w:rPr>
          <w:rFonts w:ascii="Arial" w:hAnsi="Arial" w:cs="Arial"/>
          <w:b/>
          <w:color w:val="1F497D"/>
          <w:sz w:val="21"/>
          <w:szCs w:val="21"/>
        </w:rPr>
        <w:t>La strategia campionaria e il livello di precisione delle stime</w:t>
      </w:r>
    </w:p>
    <w:p w14:paraId="0CD6D356" w14:textId="5518362D"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Il disegno di campionamento è a due stadi di cui il primo è stratificato: le unità di primo stadio sono i comuni, le unità di secondo stadio sono le famiglie. Nel 20</w:t>
      </w:r>
      <w:r w:rsidR="00C70D65" w:rsidRPr="004C1D16">
        <w:rPr>
          <w:rFonts w:ascii="Arial" w:hAnsi="Arial" w:cs="Arial"/>
          <w:bCs/>
          <w:sz w:val="21"/>
          <w:szCs w:val="21"/>
        </w:rPr>
        <w:t>20</w:t>
      </w:r>
      <w:r w:rsidRPr="004C1D16">
        <w:rPr>
          <w:rFonts w:ascii="Arial" w:hAnsi="Arial" w:cs="Arial"/>
          <w:bCs/>
          <w:sz w:val="21"/>
          <w:szCs w:val="21"/>
        </w:rPr>
        <w:t xml:space="preserve"> sono stati coinvolti complessivamente </w:t>
      </w:r>
      <w:r w:rsidR="00CE1104" w:rsidRPr="004C1D16">
        <w:rPr>
          <w:rFonts w:ascii="Arial" w:hAnsi="Arial" w:cs="Arial"/>
          <w:bCs/>
          <w:sz w:val="21"/>
          <w:szCs w:val="21"/>
        </w:rPr>
        <w:t>542</w:t>
      </w:r>
      <w:r w:rsidRPr="004C1D16">
        <w:rPr>
          <w:rFonts w:ascii="Arial" w:hAnsi="Arial" w:cs="Arial"/>
          <w:bCs/>
          <w:sz w:val="21"/>
          <w:szCs w:val="21"/>
        </w:rPr>
        <w:t xml:space="preserve"> comuni, </w:t>
      </w:r>
      <w:r w:rsidR="00CE1104" w:rsidRPr="004C1D16">
        <w:rPr>
          <w:rFonts w:ascii="Arial" w:hAnsi="Arial" w:cs="Arial"/>
          <w:bCs/>
          <w:sz w:val="21"/>
          <w:szCs w:val="21"/>
        </w:rPr>
        <w:t>65</w:t>
      </w:r>
      <w:r w:rsidRPr="004C1D16">
        <w:rPr>
          <w:rFonts w:ascii="Arial" w:hAnsi="Arial" w:cs="Arial"/>
          <w:bCs/>
          <w:sz w:val="21"/>
          <w:szCs w:val="21"/>
        </w:rPr>
        <w:t xml:space="preserve"> autorappresentativi (che partecipano all’indagine ogni mese) e 4</w:t>
      </w:r>
      <w:r w:rsidR="00CE1104" w:rsidRPr="004C1D16">
        <w:rPr>
          <w:rFonts w:ascii="Arial" w:hAnsi="Arial" w:cs="Arial"/>
          <w:bCs/>
          <w:sz w:val="21"/>
          <w:szCs w:val="21"/>
        </w:rPr>
        <w:t>77</w:t>
      </w:r>
      <w:r w:rsidRPr="004C1D16">
        <w:rPr>
          <w:rFonts w:ascii="Arial" w:hAnsi="Arial" w:cs="Arial"/>
          <w:bCs/>
          <w:sz w:val="21"/>
          <w:szCs w:val="21"/>
        </w:rPr>
        <w:t xml:space="preserve"> non autorappresentativi (che partecipano all’indagine una volta a trimestre). Il disegno di campionamento ha previsto un campione teorico annuale di circa </w:t>
      </w:r>
      <w:r w:rsidR="00537D52" w:rsidRPr="004C1D16">
        <w:rPr>
          <w:rFonts w:ascii="Arial" w:hAnsi="Arial" w:cs="Arial"/>
          <w:bCs/>
          <w:sz w:val="21"/>
          <w:szCs w:val="21"/>
        </w:rPr>
        <w:t>32</w:t>
      </w:r>
      <w:r w:rsidRPr="004C1D16">
        <w:rPr>
          <w:rFonts w:ascii="Arial" w:hAnsi="Arial" w:cs="Arial"/>
          <w:bCs/>
          <w:sz w:val="21"/>
          <w:szCs w:val="21"/>
        </w:rPr>
        <w:t xml:space="preserve">.500 famiglie, ovvero circa </w:t>
      </w:r>
      <w:r w:rsidR="00537D52" w:rsidRPr="004C1D16">
        <w:rPr>
          <w:rFonts w:ascii="Arial" w:hAnsi="Arial" w:cs="Arial"/>
          <w:bCs/>
          <w:sz w:val="21"/>
          <w:szCs w:val="21"/>
        </w:rPr>
        <w:t>2</w:t>
      </w:r>
      <w:r w:rsidRPr="004C1D16">
        <w:rPr>
          <w:rFonts w:ascii="Arial" w:hAnsi="Arial" w:cs="Arial"/>
          <w:bCs/>
          <w:sz w:val="21"/>
          <w:szCs w:val="21"/>
        </w:rPr>
        <w:t>.</w:t>
      </w:r>
      <w:r w:rsidR="00537D52" w:rsidRPr="004C1D16">
        <w:rPr>
          <w:rFonts w:ascii="Arial" w:hAnsi="Arial" w:cs="Arial"/>
          <w:bCs/>
          <w:sz w:val="21"/>
          <w:szCs w:val="21"/>
        </w:rPr>
        <w:t>7</w:t>
      </w:r>
      <w:r w:rsidR="00CE1104" w:rsidRPr="004C1D16">
        <w:rPr>
          <w:rFonts w:ascii="Arial" w:hAnsi="Arial" w:cs="Arial"/>
          <w:bCs/>
          <w:sz w:val="21"/>
          <w:szCs w:val="21"/>
        </w:rPr>
        <w:t>1</w:t>
      </w:r>
      <w:r w:rsidRPr="004C1D16">
        <w:rPr>
          <w:rFonts w:ascii="Arial" w:hAnsi="Arial" w:cs="Arial"/>
          <w:bCs/>
          <w:sz w:val="21"/>
          <w:szCs w:val="21"/>
        </w:rPr>
        <w:t xml:space="preserve">0 al mese, residenti nei </w:t>
      </w:r>
      <w:r w:rsidR="00CE1104" w:rsidRPr="004C1D16">
        <w:rPr>
          <w:rFonts w:ascii="Arial" w:hAnsi="Arial" w:cs="Arial"/>
          <w:bCs/>
          <w:sz w:val="21"/>
          <w:szCs w:val="21"/>
        </w:rPr>
        <w:t>224</w:t>
      </w:r>
      <w:r w:rsidRPr="004C1D16">
        <w:rPr>
          <w:rFonts w:ascii="Arial" w:hAnsi="Arial" w:cs="Arial"/>
          <w:bCs/>
          <w:sz w:val="21"/>
          <w:szCs w:val="21"/>
        </w:rPr>
        <w:t xml:space="preserve"> comuni che ogni mese hanno partecipato all'indagine. Il campione effettivo è risultato di circa </w:t>
      </w:r>
      <w:r w:rsidR="00537D52" w:rsidRPr="004C1D16">
        <w:rPr>
          <w:rFonts w:ascii="Arial" w:hAnsi="Arial" w:cs="Arial"/>
          <w:bCs/>
          <w:sz w:val="21"/>
          <w:szCs w:val="21"/>
        </w:rPr>
        <w:t>25</w:t>
      </w:r>
      <w:r w:rsidRPr="004C1D16">
        <w:rPr>
          <w:rFonts w:ascii="Arial" w:hAnsi="Arial" w:cs="Arial"/>
          <w:bCs/>
          <w:sz w:val="21"/>
          <w:szCs w:val="21"/>
        </w:rPr>
        <w:t>.</w:t>
      </w:r>
      <w:r w:rsidR="00537D52" w:rsidRPr="004C1D16">
        <w:rPr>
          <w:rFonts w:ascii="Arial" w:hAnsi="Arial" w:cs="Arial"/>
          <w:bCs/>
          <w:sz w:val="21"/>
          <w:szCs w:val="21"/>
        </w:rPr>
        <w:t>670</w:t>
      </w:r>
      <w:r w:rsidRPr="004C1D16">
        <w:rPr>
          <w:rFonts w:ascii="Arial" w:hAnsi="Arial" w:cs="Arial"/>
          <w:bCs/>
          <w:sz w:val="21"/>
          <w:szCs w:val="21"/>
        </w:rPr>
        <w:t xml:space="preserve"> famiglie.</w:t>
      </w:r>
    </w:p>
    <w:p w14:paraId="1CE33DAF" w14:textId="46286043" w:rsidR="00CE1104" w:rsidRPr="004C1D16" w:rsidRDefault="00CE1104" w:rsidP="004451EE">
      <w:pPr>
        <w:spacing w:after="120"/>
        <w:jc w:val="both"/>
        <w:rPr>
          <w:rFonts w:ascii="Arial" w:hAnsi="Arial" w:cs="Arial"/>
          <w:bCs/>
          <w:sz w:val="21"/>
          <w:szCs w:val="21"/>
        </w:rPr>
      </w:pPr>
      <w:r w:rsidRPr="004C1D16">
        <w:rPr>
          <w:rFonts w:ascii="Arial" w:hAnsi="Arial" w:cs="Arial"/>
          <w:bCs/>
          <w:sz w:val="21"/>
          <w:szCs w:val="21"/>
        </w:rPr>
        <w:t xml:space="preserve">L'impossibilità di recarsi presso le famiglie durante il lockdown </w:t>
      </w:r>
      <w:r w:rsidR="009C0047" w:rsidRPr="004C1D16">
        <w:rPr>
          <w:rFonts w:ascii="Arial" w:hAnsi="Arial" w:cs="Arial"/>
          <w:bCs/>
          <w:sz w:val="21"/>
          <w:szCs w:val="21"/>
        </w:rPr>
        <w:t xml:space="preserve">nazionale </w:t>
      </w:r>
      <w:r w:rsidRPr="004C1D16">
        <w:rPr>
          <w:rFonts w:ascii="Arial" w:hAnsi="Arial" w:cs="Arial"/>
          <w:bCs/>
          <w:sz w:val="21"/>
          <w:szCs w:val="21"/>
        </w:rPr>
        <w:t>ha comportato la sospensione dell'indagine nel mese di aprile</w:t>
      </w:r>
      <w:r w:rsidR="009C0047" w:rsidRPr="004C1D16">
        <w:rPr>
          <w:rFonts w:ascii="Arial" w:hAnsi="Arial" w:cs="Arial"/>
          <w:bCs/>
          <w:sz w:val="21"/>
          <w:szCs w:val="21"/>
        </w:rPr>
        <w:t xml:space="preserve"> 2020</w:t>
      </w:r>
      <w:r w:rsidRPr="004C1D16">
        <w:rPr>
          <w:rFonts w:ascii="Arial" w:hAnsi="Arial" w:cs="Arial"/>
          <w:bCs/>
          <w:sz w:val="21"/>
          <w:szCs w:val="21"/>
        </w:rPr>
        <w:t>.</w:t>
      </w:r>
      <w:r w:rsidR="00AB497E" w:rsidRPr="004C1D16">
        <w:rPr>
          <w:rFonts w:ascii="Arial" w:hAnsi="Arial" w:cs="Arial"/>
          <w:bCs/>
          <w:sz w:val="21"/>
          <w:szCs w:val="21"/>
        </w:rPr>
        <w:t xml:space="preserve"> Pertanto, i dati </w:t>
      </w:r>
      <w:r w:rsidR="009C0047" w:rsidRPr="004C1D16">
        <w:rPr>
          <w:rFonts w:ascii="Arial" w:hAnsi="Arial" w:cs="Arial"/>
          <w:bCs/>
          <w:sz w:val="21"/>
          <w:szCs w:val="21"/>
        </w:rPr>
        <w:t>relativi alle</w:t>
      </w:r>
      <w:r w:rsidR="00AB497E" w:rsidRPr="004C1D16">
        <w:rPr>
          <w:rFonts w:ascii="Arial" w:hAnsi="Arial" w:cs="Arial"/>
          <w:bCs/>
          <w:sz w:val="21"/>
          <w:szCs w:val="21"/>
        </w:rPr>
        <w:t xml:space="preserve"> famiglie le cui interviste erano programmate </w:t>
      </w:r>
      <w:r w:rsidR="009C0047" w:rsidRPr="004C1D16">
        <w:rPr>
          <w:rFonts w:ascii="Arial" w:hAnsi="Arial" w:cs="Arial"/>
          <w:bCs/>
          <w:sz w:val="21"/>
          <w:szCs w:val="21"/>
        </w:rPr>
        <w:t>in quel mese</w:t>
      </w:r>
      <w:r w:rsidR="00AB497E" w:rsidRPr="004C1D16">
        <w:rPr>
          <w:rFonts w:ascii="Arial" w:hAnsi="Arial" w:cs="Arial"/>
          <w:bCs/>
          <w:sz w:val="21"/>
          <w:szCs w:val="21"/>
        </w:rPr>
        <w:t>, sono stati stimati</w:t>
      </w:r>
      <w:r w:rsidR="009C0047" w:rsidRPr="004C1D16">
        <w:rPr>
          <w:rFonts w:ascii="Arial" w:hAnsi="Arial" w:cs="Arial"/>
          <w:bCs/>
          <w:sz w:val="21"/>
          <w:szCs w:val="21"/>
        </w:rPr>
        <w:t>: per le famiglie campione della prima metà di aprile, sulla base delle interviste effettivamente realizzate nella seconda metà di marzo; per le famiglie della seconda metà di aprile, sulla base delle interviste effettuate nella prima metà di maggio</w:t>
      </w:r>
      <w:r w:rsidR="00AB497E" w:rsidRPr="004C1D16">
        <w:rPr>
          <w:rFonts w:ascii="Arial" w:hAnsi="Arial" w:cs="Arial"/>
          <w:bCs/>
          <w:sz w:val="21"/>
          <w:szCs w:val="21"/>
        </w:rPr>
        <w:t>.</w:t>
      </w:r>
      <w:r w:rsidR="009C0047" w:rsidRPr="004C1D16">
        <w:rPr>
          <w:rFonts w:ascii="Arial" w:hAnsi="Arial" w:cs="Arial"/>
          <w:bCs/>
          <w:sz w:val="21"/>
          <w:szCs w:val="21"/>
        </w:rPr>
        <w:t xml:space="preserve"> Si tratta infatti, in entrambi i casi, di periodi “simili” dal punto di vista delle restrizioni governative imposte alle famiglie.</w:t>
      </w:r>
    </w:p>
    <w:p w14:paraId="28763361" w14:textId="7038F11C"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 xml:space="preserve">Per </w:t>
      </w:r>
      <w:r w:rsidR="004C1D16">
        <w:rPr>
          <w:rFonts w:ascii="Arial" w:hAnsi="Arial" w:cs="Arial"/>
          <w:bCs/>
          <w:sz w:val="21"/>
          <w:szCs w:val="21"/>
        </w:rPr>
        <w:t>avere</w:t>
      </w:r>
      <w:r w:rsidRPr="004C1D16">
        <w:rPr>
          <w:rFonts w:ascii="Arial" w:hAnsi="Arial" w:cs="Arial"/>
          <w:bCs/>
          <w:sz w:val="21"/>
          <w:szCs w:val="21"/>
        </w:rPr>
        <w:t xml:space="preserve"> la rappresentatività delle spese giornaliere, all’interno di ogni mese (distintamente per ciascuna regione) sono scelti casualmente due periodi di quattordici giorni denominati periodi di riferimento. In ogni comune campione, le famiglie da intervistare mensilmente sono divise in due gruppi di pari numerosità, che partecipano all’indagine rispettivamente nel primo e nel secondo periodo di riferimento. Va precisato, infine, che il disegno di campionamento è definito su base trimestrale e applicato ai quattro trimestri dell’anno.</w:t>
      </w:r>
    </w:p>
    <w:p w14:paraId="718F94D6" w14:textId="6A4F6D0C" w:rsidR="004451EE" w:rsidRPr="004C1D16" w:rsidRDefault="00B205CF" w:rsidP="004451EE">
      <w:pPr>
        <w:spacing w:after="120"/>
        <w:jc w:val="both"/>
        <w:rPr>
          <w:rFonts w:ascii="Arial" w:hAnsi="Arial" w:cs="Arial"/>
          <w:bCs/>
          <w:sz w:val="21"/>
          <w:szCs w:val="21"/>
        </w:rPr>
      </w:pPr>
      <w:r w:rsidRPr="004C1D16">
        <w:rPr>
          <w:rFonts w:ascii="Arial" w:hAnsi="Arial" w:cs="Arial"/>
          <w:bCs/>
          <w:sz w:val="21"/>
          <w:szCs w:val="21"/>
        </w:rPr>
        <w:t>La raccolta dei dati è affidata a una rete di rilevazione professionale incaricata dall’Istat. Il campione di famiglie da intervistare è estratto casualmente utilizzando la Lista Anagrafica Comunale (LAC) oppure attraverso l’Anagrafe Nazionale della Popolazione Residente (ANPR), e per ogni famiglia campione ne vengono selezionate altre cinque da utilizzare in caso di rifiuto iniziale, irreperibilità o impossibilità a collaborare da parte della famiglia campione.</w:t>
      </w:r>
    </w:p>
    <w:p w14:paraId="0B7AAC75" w14:textId="77777777"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 xml:space="preserve">Per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(standard error) o di errore relativo (cioè l’errore assoluto diviso per la stima, che prende il nome di coefficiente di variazione, CV). </w:t>
      </w:r>
    </w:p>
    <w:p w14:paraId="7C36AC4A" w14:textId="77777777"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47A1410A" w14:textId="405BC7AE" w:rsidR="004C1D16" w:rsidRDefault="004451EE" w:rsidP="004451EE">
      <w:pPr>
        <w:spacing w:after="120"/>
        <w:jc w:val="both"/>
        <w:rPr>
          <w:rFonts w:ascii="Arial" w:hAnsi="Arial" w:cs="Arial"/>
          <w:bCs/>
          <w:sz w:val="21"/>
          <w:szCs w:val="21"/>
        </w:rPr>
      </w:pPr>
      <w:r w:rsidRPr="004C1D16">
        <w:rPr>
          <w:rFonts w:ascii="Arial" w:hAnsi="Arial" w:cs="Arial"/>
          <w:bCs/>
          <w:sz w:val="21"/>
          <w:szCs w:val="21"/>
        </w:rPr>
        <w:lastRenderedPageBreak/>
        <w:t>Nel 20</w:t>
      </w:r>
      <w:r w:rsidR="00C70D65" w:rsidRPr="004C1D16">
        <w:rPr>
          <w:rFonts w:ascii="Arial" w:hAnsi="Arial" w:cs="Arial"/>
          <w:bCs/>
          <w:sz w:val="21"/>
          <w:szCs w:val="21"/>
        </w:rPr>
        <w:t>20</w:t>
      </w:r>
      <w:r w:rsidRPr="004C1D16">
        <w:rPr>
          <w:rFonts w:ascii="Arial" w:hAnsi="Arial" w:cs="Arial"/>
          <w:bCs/>
          <w:sz w:val="21"/>
          <w:szCs w:val="21"/>
        </w:rPr>
        <w:t xml:space="preserve"> la stima della spesa media mensile è risultata pari a 2.</w:t>
      </w:r>
      <w:r w:rsidR="00D820D7" w:rsidRPr="004C1D16">
        <w:rPr>
          <w:rFonts w:ascii="Arial" w:hAnsi="Arial" w:cs="Arial"/>
          <w:bCs/>
          <w:sz w:val="21"/>
          <w:szCs w:val="21"/>
        </w:rPr>
        <w:t>328</w:t>
      </w:r>
      <w:r w:rsidRPr="004C1D16">
        <w:rPr>
          <w:rFonts w:ascii="Arial" w:hAnsi="Arial" w:cs="Arial"/>
          <w:bCs/>
          <w:sz w:val="21"/>
          <w:szCs w:val="21"/>
        </w:rPr>
        <w:t>,</w:t>
      </w:r>
      <w:r w:rsidR="00D820D7" w:rsidRPr="004C1D16">
        <w:rPr>
          <w:rFonts w:ascii="Arial" w:hAnsi="Arial" w:cs="Arial"/>
          <w:bCs/>
          <w:sz w:val="21"/>
          <w:szCs w:val="21"/>
        </w:rPr>
        <w:t>23</w:t>
      </w:r>
      <w:r w:rsidRPr="004C1D16">
        <w:rPr>
          <w:rFonts w:ascii="Arial" w:hAnsi="Arial" w:cs="Arial"/>
          <w:bCs/>
          <w:sz w:val="21"/>
          <w:szCs w:val="21"/>
        </w:rPr>
        <w:t xml:space="preserve"> euro; poiché l’errore relativo è pari allo 0,</w:t>
      </w:r>
      <w:r w:rsidR="007571EA" w:rsidRPr="004C1D16">
        <w:rPr>
          <w:rFonts w:ascii="Arial" w:hAnsi="Arial" w:cs="Arial"/>
          <w:bCs/>
          <w:sz w:val="21"/>
          <w:szCs w:val="21"/>
        </w:rPr>
        <w:t>5</w:t>
      </w:r>
      <w:r w:rsidRPr="004C1D16">
        <w:rPr>
          <w:rFonts w:ascii="Arial" w:hAnsi="Arial" w:cs="Arial"/>
          <w:bCs/>
          <w:sz w:val="21"/>
          <w:szCs w:val="21"/>
        </w:rPr>
        <w:t>%, il valore che si otterrebbe osservando l’intera popolazione è compreso, con una probabilità del 95%, tra 2.</w:t>
      </w:r>
      <w:r w:rsidR="00D820D7" w:rsidRPr="004C1D16">
        <w:rPr>
          <w:rFonts w:ascii="Arial" w:hAnsi="Arial" w:cs="Arial"/>
          <w:bCs/>
          <w:sz w:val="21"/>
          <w:szCs w:val="21"/>
        </w:rPr>
        <w:t>306,39</w:t>
      </w:r>
      <w:r w:rsidR="007571EA" w:rsidRPr="004C1D16">
        <w:rPr>
          <w:rFonts w:ascii="Arial" w:hAnsi="Arial" w:cs="Arial"/>
          <w:bCs/>
          <w:sz w:val="21"/>
          <w:szCs w:val="21"/>
        </w:rPr>
        <w:t xml:space="preserve"> </w:t>
      </w:r>
      <w:r w:rsidRPr="004C1D16">
        <w:rPr>
          <w:rFonts w:ascii="Arial" w:hAnsi="Arial" w:cs="Arial"/>
          <w:bCs/>
          <w:sz w:val="21"/>
          <w:szCs w:val="21"/>
        </w:rPr>
        <w:t>e 2.</w:t>
      </w:r>
      <w:r w:rsidR="00D820D7" w:rsidRPr="004C1D16">
        <w:rPr>
          <w:rFonts w:ascii="Arial" w:hAnsi="Arial" w:cs="Arial"/>
          <w:bCs/>
          <w:sz w:val="21"/>
          <w:szCs w:val="21"/>
        </w:rPr>
        <w:t>350,08</w:t>
      </w:r>
      <w:r w:rsidRPr="004C1D16">
        <w:rPr>
          <w:rFonts w:ascii="Arial" w:hAnsi="Arial" w:cs="Arial"/>
          <w:bCs/>
          <w:sz w:val="21"/>
          <w:szCs w:val="21"/>
        </w:rPr>
        <w:t xml:space="preserve"> euro. </w:t>
      </w:r>
    </w:p>
    <w:p w14:paraId="23FA6E5F" w14:textId="150389B1" w:rsidR="000762D4" w:rsidRPr="004C1D16" w:rsidRDefault="004451EE" w:rsidP="004451EE">
      <w:pPr>
        <w:spacing w:after="120"/>
        <w:jc w:val="both"/>
        <w:rPr>
          <w:rFonts w:ascii="Arial" w:hAnsi="Arial" w:cs="Arial"/>
          <w:bCs/>
          <w:sz w:val="21"/>
          <w:szCs w:val="21"/>
        </w:rPr>
      </w:pPr>
      <w:r w:rsidRPr="004C1D16">
        <w:rPr>
          <w:rFonts w:ascii="Arial" w:hAnsi="Arial" w:cs="Arial"/>
          <w:bCs/>
          <w:sz w:val="21"/>
          <w:szCs w:val="21"/>
        </w:rPr>
        <w:t>Quando il campione viene disaggregato secondo le diverse caratteristiche familiari, la minore numerosità campionaria fa aumentare l’errore relativo e rende quindi le stime meno precise.</w:t>
      </w:r>
      <w:r w:rsidR="000762D4" w:rsidRPr="004C1D16">
        <w:rPr>
          <w:rFonts w:ascii="Arial" w:hAnsi="Arial" w:cs="Arial"/>
          <w:bCs/>
          <w:sz w:val="21"/>
          <w:szCs w:val="21"/>
        </w:rPr>
        <w:t xml:space="preserve"> Nelle tavole A e B si riportano gli errori relativi percentuali dei capitoli di spesa e della spesa totale per le principali caratteristiche familiari, con la segnalazione delle differenze statisticamente significative e commentate nel testo.</w:t>
      </w:r>
    </w:p>
    <w:p w14:paraId="1EC5FEB7" w14:textId="77777777" w:rsidR="004C1D16" w:rsidRDefault="004C1D16" w:rsidP="004451EE">
      <w:pPr>
        <w:spacing w:after="120"/>
        <w:jc w:val="both"/>
        <w:rPr>
          <w:rFonts w:ascii="Arial" w:hAnsi="Arial" w:cs="Arial"/>
          <w:b/>
          <w:bCs/>
          <w:color w:val="1F497D"/>
          <w:sz w:val="21"/>
          <w:szCs w:val="21"/>
        </w:rPr>
      </w:pPr>
    </w:p>
    <w:p w14:paraId="2CC97E9C" w14:textId="77777777" w:rsidR="004C1D16" w:rsidRDefault="004C1D16" w:rsidP="004451EE">
      <w:pPr>
        <w:spacing w:after="120"/>
        <w:jc w:val="both"/>
        <w:rPr>
          <w:rFonts w:ascii="Arial" w:hAnsi="Arial" w:cs="Arial"/>
          <w:b/>
          <w:bCs/>
          <w:color w:val="1F497D"/>
          <w:sz w:val="21"/>
          <w:szCs w:val="21"/>
        </w:rPr>
      </w:pPr>
    </w:p>
    <w:p w14:paraId="63ED8F80" w14:textId="36E8423E" w:rsidR="004451EE" w:rsidRPr="004C1D16" w:rsidRDefault="004451EE" w:rsidP="004451EE">
      <w:pPr>
        <w:spacing w:after="120"/>
        <w:jc w:val="both"/>
        <w:rPr>
          <w:rFonts w:ascii="Arial Narrow" w:hAnsi="Arial Narrow" w:cs="Arial"/>
          <w:iCs/>
          <w:noProof/>
          <w:color w:val="1F497D" w:themeColor="text2"/>
          <w:sz w:val="21"/>
          <w:szCs w:val="21"/>
        </w:rPr>
      </w:pPr>
      <w:r w:rsidRPr="004C1D16">
        <w:rPr>
          <w:rFonts w:ascii="Arial" w:hAnsi="Arial" w:cs="Arial"/>
          <w:b/>
          <w:bCs/>
          <w:color w:val="1F497D"/>
          <w:sz w:val="21"/>
          <w:szCs w:val="21"/>
        </w:rPr>
        <w:t xml:space="preserve">TAVOLA A. </w:t>
      </w:r>
      <w:r w:rsidR="00D40002" w:rsidRPr="004C1D16">
        <w:rPr>
          <w:rFonts w:ascii="Arial Narrow" w:hAnsi="Arial Narrow" w:cs="Arial"/>
          <w:b/>
          <w:iCs/>
          <w:noProof/>
          <w:color w:val="1F497D" w:themeColor="text2"/>
          <w:sz w:val="21"/>
          <w:szCs w:val="21"/>
        </w:rPr>
        <w:t>SPESA MEDIA MENSILE DELLE FAMIGLIE, ERRORE RELATIVO PERCENTUALE E SIGNIFICATIVITÀ DELLA VARIAZIONE PER CAPITOLO DI SPESA.</w:t>
      </w:r>
      <w:r w:rsidR="00D40002" w:rsidRPr="004C1D16">
        <w:rPr>
          <w:rFonts w:ascii="Arial Narrow" w:hAnsi="Arial Narrow" w:cs="Arial"/>
          <w:b/>
          <w:sz w:val="21"/>
          <w:szCs w:val="21"/>
        </w:rPr>
        <w:t xml:space="preserve"> </w:t>
      </w:r>
      <w:r w:rsidRPr="004C1D16">
        <w:rPr>
          <w:rFonts w:ascii="Arial Narrow" w:hAnsi="Arial Narrow" w:cs="Arial"/>
          <w:iCs/>
          <w:noProof/>
          <w:color w:val="1F497D" w:themeColor="text2"/>
          <w:sz w:val="21"/>
          <w:szCs w:val="21"/>
        </w:rPr>
        <w:t>Anni 201</w:t>
      </w:r>
      <w:r w:rsidR="00C70D65" w:rsidRPr="004C1D16">
        <w:rPr>
          <w:rFonts w:ascii="Arial Narrow" w:hAnsi="Arial Narrow" w:cs="Arial"/>
          <w:iCs/>
          <w:noProof/>
          <w:color w:val="1F497D" w:themeColor="text2"/>
          <w:sz w:val="21"/>
          <w:szCs w:val="21"/>
        </w:rPr>
        <w:t>9</w:t>
      </w:r>
      <w:r w:rsidRPr="004C1D16">
        <w:rPr>
          <w:rFonts w:ascii="Arial Narrow" w:hAnsi="Arial Narrow" w:cs="Arial"/>
          <w:iCs/>
          <w:noProof/>
          <w:color w:val="1F497D" w:themeColor="text2"/>
          <w:sz w:val="21"/>
          <w:szCs w:val="21"/>
        </w:rPr>
        <w:t>-20</w:t>
      </w:r>
      <w:r w:rsidR="00C70D65" w:rsidRPr="004C1D16">
        <w:rPr>
          <w:rFonts w:ascii="Arial Narrow" w:hAnsi="Arial Narrow" w:cs="Arial"/>
          <w:iCs/>
          <w:noProof/>
          <w:color w:val="1F497D" w:themeColor="text2"/>
          <w:sz w:val="21"/>
          <w:szCs w:val="21"/>
        </w:rPr>
        <w:t>20</w:t>
      </w:r>
      <w:r w:rsidRPr="004C1D16">
        <w:rPr>
          <w:rFonts w:ascii="Arial Narrow" w:hAnsi="Arial Narrow" w:cs="Arial"/>
          <w:iCs/>
          <w:noProof/>
          <w:color w:val="1F497D" w:themeColor="text2"/>
          <w:sz w:val="21"/>
          <w:szCs w:val="21"/>
        </w:rPr>
        <w:t>, valori in euro e in percentuale</w:t>
      </w:r>
    </w:p>
    <w:tbl>
      <w:tblPr>
        <w:tblW w:w="0" w:type="auto"/>
        <w:tblInd w:w="5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327"/>
        <w:gridCol w:w="1055"/>
        <w:gridCol w:w="1056"/>
        <w:gridCol w:w="1055"/>
        <w:gridCol w:w="1056"/>
        <w:gridCol w:w="1600"/>
      </w:tblGrid>
      <w:tr w:rsidR="0004198F" w:rsidRPr="004C1D16" w14:paraId="2FD9781F" w14:textId="77777777" w:rsidTr="00BE2E68">
        <w:trPr>
          <w:trHeight w:val="227"/>
        </w:trPr>
        <w:tc>
          <w:tcPr>
            <w:tcW w:w="0" w:type="auto"/>
            <w:vMerge w:val="restart"/>
            <w:shd w:val="clear" w:color="auto" w:fill="auto"/>
            <w:vAlign w:val="center"/>
            <w:hideMark/>
          </w:tcPr>
          <w:p w14:paraId="7A43BF2A" w14:textId="77777777" w:rsidR="0004198F" w:rsidRPr="004C1D16" w:rsidRDefault="0004198F">
            <w:pPr>
              <w:spacing w:before="40" w:after="20"/>
              <w:contextualSpacing/>
              <w:rPr>
                <w:rFonts w:ascii="Arial Narrow" w:hAnsi="Arial Narrow"/>
                <w:b/>
                <w:bCs/>
                <w:color w:val="1F497D"/>
                <w:sz w:val="21"/>
                <w:szCs w:val="21"/>
              </w:rPr>
            </w:pPr>
            <w:r w:rsidRPr="004C1D16">
              <w:rPr>
                <w:rFonts w:ascii="Arial Narrow" w:hAnsi="Arial Narrow"/>
                <w:b/>
                <w:bCs/>
                <w:color w:val="1F497D"/>
                <w:sz w:val="21"/>
                <w:szCs w:val="21"/>
              </w:rPr>
              <w:t xml:space="preserve">CAPITOLO DI SPESA </w:t>
            </w:r>
          </w:p>
        </w:tc>
        <w:tc>
          <w:tcPr>
            <w:tcW w:w="1055" w:type="dxa"/>
            <w:shd w:val="clear" w:color="auto" w:fill="auto"/>
            <w:vAlign w:val="center"/>
            <w:hideMark/>
          </w:tcPr>
          <w:p w14:paraId="7D80676A" w14:textId="391F8887" w:rsidR="0004198F" w:rsidRPr="004C1D16" w:rsidRDefault="0004198F">
            <w:pPr>
              <w:spacing w:before="40" w:after="20"/>
              <w:contextualSpacing/>
              <w:jc w:val="center"/>
              <w:rPr>
                <w:rFonts w:ascii="Arial Narrow" w:hAnsi="Arial Narrow"/>
                <w:b/>
                <w:bCs/>
                <w:color w:val="1F497D"/>
                <w:sz w:val="21"/>
                <w:szCs w:val="21"/>
              </w:rPr>
            </w:pPr>
            <w:r w:rsidRPr="004C1D16">
              <w:rPr>
                <w:rFonts w:ascii="Arial Narrow" w:hAnsi="Arial Narrow"/>
                <w:b/>
                <w:bCs/>
                <w:color w:val="1F497D"/>
                <w:sz w:val="21"/>
                <w:szCs w:val="21"/>
              </w:rPr>
              <w:t>201</w:t>
            </w:r>
            <w:r w:rsidR="00C70D65" w:rsidRPr="004C1D16">
              <w:rPr>
                <w:rFonts w:ascii="Arial Narrow" w:hAnsi="Arial Narrow"/>
                <w:b/>
                <w:bCs/>
                <w:color w:val="1F497D"/>
                <w:sz w:val="21"/>
                <w:szCs w:val="21"/>
              </w:rPr>
              <w:t>9</w:t>
            </w:r>
          </w:p>
        </w:tc>
        <w:tc>
          <w:tcPr>
            <w:tcW w:w="1056" w:type="dxa"/>
            <w:shd w:val="clear" w:color="auto" w:fill="auto"/>
            <w:vAlign w:val="center"/>
          </w:tcPr>
          <w:p w14:paraId="1409AC5D" w14:textId="401840F2" w:rsidR="0004198F" w:rsidRPr="004C1D16" w:rsidRDefault="0004198F">
            <w:pPr>
              <w:spacing w:before="40" w:after="20"/>
              <w:contextualSpacing/>
              <w:jc w:val="center"/>
              <w:rPr>
                <w:rFonts w:ascii="Arial Narrow" w:hAnsi="Arial Narrow"/>
                <w:b/>
                <w:bCs/>
                <w:color w:val="1F497D"/>
                <w:sz w:val="21"/>
                <w:szCs w:val="21"/>
              </w:rPr>
            </w:pPr>
          </w:p>
        </w:tc>
        <w:tc>
          <w:tcPr>
            <w:tcW w:w="1055" w:type="dxa"/>
            <w:shd w:val="clear" w:color="auto" w:fill="auto"/>
            <w:vAlign w:val="center"/>
            <w:hideMark/>
          </w:tcPr>
          <w:p w14:paraId="2A1CB197" w14:textId="6828768E" w:rsidR="0004198F" w:rsidRPr="004C1D16" w:rsidRDefault="0004198F">
            <w:pPr>
              <w:spacing w:before="40" w:after="20"/>
              <w:contextualSpacing/>
              <w:jc w:val="center"/>
              <w:rPr>
                <w:rFonts w:ascii="Arial Narrow" w:hAnsi="Arial Narrow"/>
                <w:b/>
                <w:bCs/>
                <w:color w:val="1F497D"/>
                <w:sz w:val="21"/>
                <w:szCs w:val="21"/>
              </w:rPr>
            </w:pPr>
            <w:r w:rsidRPr="004C1D16">
              <w:rPr>
                <w:rFonts w:ascii="Arial Narrow" w:hAnsi="Arial Narrow"/>
                <w:b/>
                <w:bCs/>
                <w:color w:val="1F497D"/>
                <w:sz w:val="21"/>
                <w:szCs w:val="21"/>
              </w:rPr>
              <w:t>20</w:t>
            </w:r>
            <w:r w:rsidR="00C70D65" w:rsidRPr="004C1D16">
              <w:rPr>
                <w:rFonts w:ascii="Arial Narrow" w:hAnsi="Arial Narrow"/>
                <w:b/>
                <w:bCs/>
                <w:color w:val="1F497D"/>
                <w:sz w:val="21"/>
                <w:szCs w:val="21"/>
              </w:rPr>
              <w:t>20</w:t>
            </w:r>
          </w:p>
        </w:tc>
        <w:tc>
          <w:tcPr>
            <w:tcW w:w="1056" w:type="dxa"/>
            <w:shd w:val="clear" w:color="auto" w:fill="auto"/>
            <w:vAlign w:val="center"/>
          </w:tcPr>
          <w:p w14:paraId="52263A3C" w14:textId="5B536A2A" w:rsidR="0004198F" w:rsidRPr="004C1D16" w:rsidRDefault="0004198F">
            <w:pPr>
              <w:spacing w:before="40" w:after="20"/>
              <w:contextualSpacing/>
              <w:jc w:val="center"/>
              <w:rPr>
                <w:rFonts w:ascii="Arial Narrow" w:hAnsi="Arial Narrow"/>
                <w:b/>
                <w:bCs/>
                <w:color w:val="1F497D"/>
                <w:sz w:val="21"/>
                <w:szCs w:val="21"/>
              </w:rPr>
            </w:pPr>
          </w:p>
        </w:tc>
        <w:tc>
          <w:tcPr>
            <w:tcW w:w="0" w:type="auto"/>
            <w:vMerge w:val="restart"/>
            <w:shd w:val="clear" w:color="auto" w:fill="auto"/>
            <w:vAlign w:val="center"/>
            <w:hideMark/>
          </w:tcPr>
          <w:p w14:paraId="1F94F075" w14:textId="77777777" w:rsidR="0004198F" w:rsidRPr="004C1D16" w:rsidRDefault="0004198F">
            <w:pPr>
              <w:spacing w:before="40" w:after="20"/>
              <w:contextualSpacing/>
              <w:jc w:val="center"/>
              <w:rPr>
                <w:rFonts w:ascii="Arial Narrow" w:hAnsi="Arial Narrow"/>
                <w:b/>
                <w:bCs/>
                <w:color w:val="1F497D"/>
                <w:sz w:val="21"/>
                <w:szCs w:val="21"/>
              </w:rPr>
            </w:pPr>
            <w:r w:rsidRPr="004C1D16">
              <w:rPr>
                <w:rFonts w:ascii="Arial Narrow" w:hAnsi="Arial Narrow"/>
                <w:b/>
                <w:bCs/>
                <w:color w:val="1F497D"/>
                <w:sz w:val="21"/>
                <w:szCs w:val="21"/>
              </w:rPr>
              <w:t>Variazione significativa (*)</w:t>
            </w:r>
          </w:p>
        </w:tc>
      </w:tr>
      <w:tr w:rsidR="0004198F" w:rsidRPr="004C1D16" w14:paraId="7DCA556D" w14:textId="77777777" w:rsidTr="00BE2E68">
        <w:trPr>
          <w:trHeight w:val="276"/>
        </w:trPr>
        <w:tc>
          <w:tcPr>
            <w:tcW w:w="0" w:type="auto"/>
            <w:vMerge/>
            <w:vAlign w:val="center"/>
            <w:hideMark/>
          </w:tcPr>
          <w:p w14:paraId="44E1F8E8" w14:textId="77777777" w:rsidR="0004198F" w:rsidRPr="004C1D16" w:rsidRDefault="0004198F">
            <w:pPr>
              <w:spacing w:before="40" w:after="20"/>
              <w:contextualSpacing/>
              <w:rPr>
                <w:rFonts w:ascii="Arial Narrow" w:hAnsi="Arial Narrow"/>
                <w:b/>
                <w:bCs/>
                <w:color w:val="1F497D"/>
                <w:sz w:val="21"/>
                <w:szCs w:val="21"/>
              </w:rPr>
            </w:pPr>
          </w:p>
        </w:tc>
        <w:tc>
          <w:tcPr>
            <w:tcW w:w="1055" w:type="dxa"/>
            <w:vMerge w:val="restart"/>
            <w:shd w:val="clear" w:color="000000" w:fill="D9D9D9"/>
            <w:vAlign w:val="center"/>
            <w:hideMark/>
          </w:tcPr>
          <w:p w14:paraId="2C16A63D" w14:textId="77777777" w:rsidR="0004198F" w:rsidRPr="004C1D16" w:rsidRDefault="0004198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Spesa media</w:t>
            </w:r>
          </w:p>
        </w:tc>
        <w:tc>
          <w:tcPr>
            <w:tcW w:w="1056" w:type="dxa"/>
            <w:vMerge w:val="restart"/>
            <w:shd w:val="clear" w:color="auto" w:fill="auto"/>
            <w:vAlign w:val="center"/>
            <w:hideMark/>
          </w:tcPr>
          <w:p w14:paraId="7BF43059" w14:textId="77777777" w:rsidR="0004198F" w:rsidRPr="004C1D16" w:rsidRDefault="0004198F">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Errore relativo (%)</w:t>
            </w:r>
          </w:p>
        </w:tc>
        <w:tc>
          <w:tcPr>
            <w:tcW w:w="1055" w:type="dxa"/>
            <w:vMerge w:val="restart"/>
            <w:shd w:val="clear" w:color="000000" w:fill="D9D9D9"/>
            <w:vAlign w:val="center"/>
            <w:hideMark/>
          </w:tcPr>
          <w:p w14:paraId="61EFBD64" w14:textId="77777777" w:rsidR="0004198F" w:rsidRPr="004C1D16" w:rsidRDefault="0004198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Spesa media</w:t>
            </w:r>
          </w:p>
        </w:tc>
        <w:tc>
          <w:tcPr>
            <w:tcW w:w="1056" w:type="dxa"/>
            <w:vMerge w:val="restart"/>
            <w:shd w:val="clear" w:color="auto" w:fill="auto"/>
            <w:vAlign w:val="center"/>
            <w:hideMark/>
          </w:tcPr>
          <w:p w14:paraId="4541974B" w14:textId="77777777" w:rsidR="0004198F" w:rsidRPr="004C1D16" w:rsidRDefault="0004198F">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Errore relativo (%)</w:t>
            </w:r>
          </w:p>
        </w:tc>
        <w:tc>
          <w:tcPr>
            <w:tcW w:w="0" w:type="auto"/>
            <w:vMerge/>
            <w:vAlign w:val="center"/>
            <w:hideMark/>
          </w:tcPr>
          <w:p w14:paraId="0055FCA7" w14:textId="77777777" w:rsidR="0004198F" w:rsidRPr="004C1D16" w:rsidRDefault="0004198F">
            <w:pPr>
              <w:spacing w:before="40" w:after="20"/>
              <w:contextualSpacing/>
              <w:rPr>
                <w:rFonts w:ascii="Arial Narrow" w:hAnsi="Arial Narrow"/>
                <w:b/>
                <w:bCs/>
                <w:color w:val="1F497D"/>
                <w:sz w:val="21"/>
                <w:szCs w:val="21"/>
              </w:rPr>
            </w:pPr>
          </w:p>
        </w:tc>
      </w:tr>
      <w:tr w:rsidR="0004198F" w:rsidRPr="004C1D16" w14:paraId="359678F0" w14:textId="77777777" w:rsidTr="00BE2E68">
        <w:trPr>
          <w:trHeight w:val="276"/>
        </w:trPr>
        <w:tc>
          <w:tcPr>
            <w:tcW w:w="0" w:type="auto"/>
            <w:vMerge/>
            <w:vAlign w:val="center"/>
            <w:hideMark/>
          </w:tcPr>
          <w:p w14:paraId="563C30BB" w14:textId="77777777" w:rsidR="0004198F" w:rsidRPr="004C1D16" w:rsidRDefault="0004198F">
            <w:pPr>
              <w:spacing w:before="40" w:after="20"/>
              <w:contextualSpacing/>
              <w:rPr>
                <w:rFonts w:ascii="Arial Narrow" w:hAnsi="Arial Narrow"/>
                <w:b/>
                <w:bCs/>
                <w:color w:val="1F497D"/>
                <w:sz w:val="21"/>
                <w:szCs w:val="21"/>
              </w:rPr>
            </w:pPr>
          </w:p>
        </w:tc>
        <w:tc>
          <w:tcPr>
            <w:tcW w:w="1055" w:type="dxa"/>
            <w:vMerge/>
            <w:vAlign w:val="center"/>
            <w:hideMark/>
          </w:tcPr>
          <w:p w14:paraId="5E266101" w14:textId="77777777" w:rsidR="0004198F" w:rsidRPr="004C1D16" w:rsidRDefault="0004198F">
            <w:pPr>
              <w:spacing w:before="40" w:after="20"/>
              <w:contextualSpacing/>
              <w:rPr>
                <w:rFonts w:ascii="Arial Narrow" w:hAnsi="Arial Narrow"/>
                <w:color w:val="1F497D"/>
                <w:sz w:val="21"/>
                <w:szCs w:val="21"/>
              </w:rPr>
            </w:pPr>
          </w:p>
        </w:tc>
        <w:tc>
          <w:tcPr>
            <w:tcW w:w="1056" w:type="dxa"/>
            <w:vMerge/>
            <w:vAlign w:val="center"/>
            <w:hideMark/>
          </w:tcPr>
          <w:p w14:paraId="016452DC" w14:textId="77777777" w:rsidR="0004198F" w:rsidRPr="004C1D16" w:rsidRDefault="0004198F">
            <w:pPr>
              <w:spacing w:before="40" w:after="20"/>
              <w:contextualSpacing/>
              <w:rPr>
                <w:rFonts w:ascii="Arial Narrow" w:hAnsi="Arial Narrow"/>
                <w:color w:val="1F497D"/>
                <w:sz w:val="21"/>
                <w:szCs w:val="21"/>
              </w:rPr>
            </w:pPr>
          </w:p>
        </w:tc>
        <w:tc>
          <w:tcPr>
            <w:tcW w:w="1055" w:type="dxa"/>
            <w:vMerge/>
            <w:vAlign w:val="center"/>
            <w:hideMark/>
          </w:tcPr>
          <w:p w14:paraId="00CB8031" w14:textId="77777777" w:rsidR="0004198F" w:rsidRPr="004C1D16" w:rsidRDefault="0004198F">
            <w:pPr>
              <w:spacing w:before="40" w:after="20"/>
              <w:contextualSpacing/>
              <w:rPr>
                <w:rFonts w:ascii="Arial Narrow" w:hAnsi="Arial Narrow"/>
                <w:color w:val="1F497D"/>
                <w:sz w:val="21"/>
                <w:szCs w:val="21"/>
              </w:rPr>
            </w:pPr>
          </w:p>
        </w:tc>
        <w:tc>
          <w:tcPr>
            <w:tcW w:w="1056" w:type="dxa"/>
            <w:vMerge/>
            <w:vAlign w:val="center"/>
            <w:hideMark/>
          </w:tcPr>
          <w:p w14:paraId="1A01891B" w14:textId="77777777" w:rsidR="0004198F" w:rsidRPr="004C1D16" w:rsidRDefault="0004198F">
            <w:pPr>
              <w:spacing w:before="40" w:after="20"/>
              <w:contextualSpacing/>
              <w:rPr>
                <w:rFonts w:ascii="Arial Narrow" w:hAnsi="Arial Narrow"/>
                <w:color w:val="1F497D"/>
                <w:sz w:val="21"/>
                <w:szCs w:val="21"/>
              </w:rPr>
            </w:pPr>
          </w:p>
        </w:tc>
        <w:tc>
          <w:tcPr>
            <w:tcW w:w="0" w:type="auto"/>
            <w:vMerge/>
            <w:vAlign w:val="center"/>
            <w:hideMark/>
          </w:tcPr>
          <w:p w14:paraId="47F5A3B7" w14:textId="77777777" w:rsidR="0004198F" w:rsidRPr="004C1D16" w:rsidRDefault="0004198F">
            <w:pPr>
              <w:spacing w:before="40" w:after="20"/>
              <w:contextualSpacing/>
              <w:rPr>
                <w:rFonts w:ascii="Arial Narrow" w:hAnsi="Arial Narrow"/>
                <w:b/>
                <w:bCs/>
                <w:color w:val="1F497D"/>
                <w:sz w:val="21"/>
                <w:szCs w:val="21"/>
              </w:rPr>
            </w:pPr>
          </w:p>
        </w:tc>
      </w:tr>
      <w:tr w:rsidR="00C70D65" w:rsidRPr="004C1D16" w14:paraId="516A1F48" w14:textId="77777777" w:rsidTr="00814A59">
        <w:trPr>
          <w:trHeight w:val="227"/>
        </w:trPr>
        <w:tc>
          <w:tcPr>
            <w:tcW w:w="0" w:type="auto"/>
            <w:shd w:val="clear" w:color="000000" w:fill="003366"/>
            <w:noWrap/>
            <w:vAlign w:val="center"/>
            <w:hideMark/>
          </w:tcPr>
          <w:p w14:paraId="68AA5C10" w14:textId="77777777" w:rsidR="00C70D65" w:rsidRPr="004C1D16" w:rsidRDefault="00C70D65">
            <w:pPr>
              <w:spacing w:before="40" w:after="20"/>
              <w:contextualSpacing/>
              <w:rPr>
                <w:rFonts w:ascii="Arial Narrow" w:hAnsi="Arial Narrow"/>
                <w:b/>
                <w:bCs/>
                <w:color w:val="FFFFFF"/>
                <w:sz w:val="21"/>
                <w:szCs w:val="21"/>
              </w:rPr>
            </w:pPr>
            <w:r w:rsidRPr="004C1D16">
              <w:rPr>
                <w:rFonts w:ascii="Arial Narrow" w:hAnsi="Arial Narrow"/>
                <w:b/>
                <w:bCs/>
                <w:color w:val="FFFFFF"/>
                <w:sz w:val="21"/>
                <w:szCs w:val="21"/>
              </w:rPr>
              <w:t>SPESA MEDIA MENSILE</w:t>
            </w:r>
          </w:p>
        </w:tc>
        <w:tc>
          <w:tcPr>
            <w:tcW w:w="1055" w:type="dxa"/>
            <w:shd w:val="clear" w:color="000000" w:fill="003366"/>
            <w:noWrap/>
            <w:hideMark/>
          </w:tcPr>
          <w:p w14:paraId="6A9AB996" w14:textId="505F5C99" w:rsidR="00C70D65" w:rsidRPr="004C1D16" w:rsidRDefault="00C70D65">
            <w:pPr>
              <w:spacing w:before="40" w:after="20"/>
              <w:contextualSpacing/>
              <w:jc w:val="right"/>
              <w:rPr>
                <w:rFonts w:ascii="Arial Narrow" w:hAnsi="Arial Narrow"/>
                <w:b/>
                <w:bCs/>
                <w:color w:val="FFFFFF" w:themeColor="background1"/>
                <w:sz w:val="21"/>
                <w:szCs w:val="21"/>
              </w:rPr>
            </w:pPr>
            <w:r w:rsidRPr="004C1D16">
              <w:rPr>
                <w:rFonts w:ascii="Arial Narrow" w:hAnsi="Arial Narrow"/>
                <w:b/>
                <w:bCs/>
                <w:color w:val="FFFFFF"/>
                <w:sz w:val="21"/>
                <w:szCs w:val="21"/>
              </w:rPr>
              <w:t>2.559,85</w:t>
            </w:r>
          </w:p>
        </w:tc>
        <w:tc>
          <w:tcPr>
            <w:tcW w:w="1056" w:type="dxa"/>
            <w:shd w:val="clear" w:color="000000" w:fill="003366"/>
            <w:noWrap/>
            <w:hideMark/>
          </w:tcPr>
          <w:p w14:paraId="4CCE9F49" w14:textId="6A8E9DA1" w:rsidR="00C70D65" w:rsidRPr="004C1D16" w:rsidRDefault="00C70D65">
            <w:pPr>
              <w:spacing w:before="40" w:after="20"/>
              <w:contextualSpacing/>
              <w:jc w:val="center"/>
              <w:rPr>
                <w:rFonts w:ascii="Arial Narrow" w:hAnsi="Arial Narrow"/>
                <w:b/>
                <w:bCs/>
                <w:color w:val="FFFFFF" w:themeColor="background1"/>
                <w:sz w:val="21"/>
                <w:szCs w:val="21"/>
              </w:rPr>
            </w:pPr>
            <w:r w:rsidRPr="004C1D16">
              <w:rPr>
                <w:rFonts w:ascii="Arial Narrow" w:hAnsi="Arial Narrow"/>
                <w:b/>
                <w:bCs/>
                <w:color w:val="FFFFFF" w:themeColor="background1"/>
                <w:sz w:val="21"/>
                <w:szCs w:val="21"/>
              </w:rPr>
              <w:t>0,5</w:t>
            </w:r>
          </w:p>
        </w:tc>
        <w:tc>
          <w:tcPr>
            <w:tcW w:w="1055" w:type="dxa"/>
            <w:shd w:val="clear" w:color="000000" w:fill="003366"/>
            <w:noWrap/>
            <w:hideMark/>
          </w:tcPr>
          <w:p w14:paraId="2DC18DA9" w14:textId="70A11914" w:rsidR="00C70D65" w:rsidRPr="004C1D16" w:rsidRDefault="0076107D">
            <w:pPr>
              <w:spacing w:before="40" w:after="20"/>
              <w:contextualSpacing/>
              <w:jc w:val="right"/>
              <w:rPr>
                <w:rFonts w:ascii="Arial Narrow" w:hAnsi="Arial Narrow"/>
                <w:b/>
                <w:bCs/>
                <w:color w:val="FFFFFF"/>
                <w:sz w:val="21"/>
                <w:szCs w:val="21"/>
              </w:rPr>
            </w:pPr>
            <w:r w:rsidRPr="004C1D16">
              <w:rPr>
                <w:rFonts w:ascii="Arial Narrow" w:hAnsi="Arial Narrow"/>
                <w:b/>
                <w:bCs/>
                <w:color w:val="FFFFFF"/>
                <w:sz w:val="21"/>
                <w:szCs w:val="21"/>
              </w:rPr>
              <w:t>2.328</w:t>
            </w:r>
            <w:r w:rsidR="00C70D65" w:rsidRPr="004C1D16">
              <w:rPr>
                <w:rFonts w:ascii="Arial Narrow" w:hAnsi="Arial Narrow"/>
                <w:b/>
                <w:bCs/>
                <w:color w:val="FFFFFF"/>
                <w:sz w:val="21"/>
                <w:szCs w:val="21"/>
              </w:rPr>
              <w:t>,</w:t>
            </w:r>
            <w:r w:rsidRPr="004C1D16">
              <w:rPr>
                <w:rFonts w:ascii="Arial Narrow" w:hAnsi="Arial Narrow"/>
                <w:b/>
                <w:bCs/>
                <w:color w:val="FFFFFF"/>
                <w:sz w:val="21"/>
                <w:szCs w:val="21"/>
              </w:rPr>
              <w:t>23</w:t>
            </w:r>
          </w:p>
        </w:tc>
        <w:tc>
          <w:tcPr>
            <w:tcW w:w="1056" w:type="dxa"/>
            <w:shd w:val="clear" w:color="000000" w:fill="003366"/>
            <w:noWrap/>
            <w:vAlign w:val="center"/>
            <w:hideMark/>
          </w:tcPr>
          <w:p w14:paraId="75645393" w14:textId="170E3048" w:rsidR="00C70D65" w:rsidRPr="004C1D16" w:rsidRDefault="00C70D65">
            <w:pPr>
              <w:spacing w:before="40" w:after="20"/>
              <w:contextualSpacing/>
              <w:jc w:val="center"/>
              <w:rPr>
                <w:rFonts w:ascii="Arial Narrow" w:hAnsi="Arial Narrow"/>
                <w:b/>
                <w:bCs/>
                <w:color w:val="FFFFFF"/>
                <w:sz w:val="21"/>
                <w:szCs w:val="21"/>
              </w:rPr>
            </w:pPr>
            <w:r w:rsidRPr="004C1D16">
              <w:rPr>
                <w:rFonts w:ascii="Arial Narrow" w:hAnsi="Arial Narrow"/>
                <w:b/>
                <w:bCs/>
                <w:color w:val="FFFFFF"/>
                <w:sz w:val="21"/>
                <w:szCs w:val="21"/>
              </w:rPr>
              <w:t>0,5</w:t>
            </w:r>
          </w:p>
        </w:tc>
        <w:tc>
          <w:tcPr>
            <w:tcW w:w="0" w:type="auto"/>
            <w:shd w:val="clear" w:color="000000" w:fill="003366"/>
            <w:noWrap/>
            <w:vAlign w:val="bottom"/>
            <w:hideMark/>
          </w:tcPr>
          <w:p w14:paraId="24E71DAC" w14:textId="10B386AC" w:rsidR="00C70D65" w:rsidRPr="004C1D16" w:rsidRDefault="000F33C6">
            <w:pPr>
              <w:spacing w:before="40" w:after="20"/>
              <w:contextualSpacing/>
              <w:jc w:val="center"/>
              <w:rPr>
                <w:rFonts w:ascii="Arial Narrow" w:hAnsi="Arial Narrow"/>
                <w:b/>
                <w:bCs/>
                <w:color w:val="FFFFFF"/>
                <w:sz w:val="21"/>
                <w:szCs w:val="21"/>
              </w:rPr>
            </w:pPr>
            <w:r w:rsidRPr="004C1D16">
              <w:rPr>
                <w:rFonts w:ascii="Arial Narrow" w:hAnsi="Arial Narrow"/>
                <w:b/>
                <w:bCs/>
                <w:color w:val="FFFFFF"/>
                <w:sz w:val="21"/>
                <w:szCs w:val="21"/>
              </w:rPr>
              <w:t>*</w:t>
            </w:r>
          </w:p>
        </w:tc>
      </w:tr>
      <w:tr w:rsidR="00C70D65" w:rsidRPr="004C1D16" w14:paraId="7B5561C1" w14:textId="77777777" w:rsidTr="00C70D65">
        <w:trPr>
          <w:trHeight w:val="227"/>
        </w:trPr>
        <w:tc>
          <w:tcPr>
            <w:tcW w:w="0" w:type="auto"/>
            <w:shd w:val="clear" w:color="000000" w:fill="003366"/>
            <w:noWrap/>
            <w:vAlign w:val="center"/>
            <w:hideMark/>
          </w:tcPr>
          <w:p w14:paraId="6F3EF827" w14:textId="77777777" w:rsidR="00C70D65" w:rsidRPr="004C1D16" w:rsidRDefault="00C70D65">
            <w:pPr>
              <w:spacing w:before="40" w:after="20"/>
              <w:contextualSpacing/>
              <w:rPr>
                <w:rFonts w:ascii="Arial Narrow" w:hAnsi="Arial Narrow"/>
                <w:b/>
                <w:bCs/>
                <w:color w:val="FFFFFF"/>
                <w:sz w:val="21"/>
                <w:szCs w:val="21"/>
              </w:rPr>
            </w:pPr>
            <w:r w:rsidRPr="004C1D16">
              <w:rPr>
                <w:rFonts w:ascii="Arial Narrow" w:hAnsi="Arial Narrow"/>
                <w:b/>
                <w:bCs/>
                <w:color w:val="FFFFFF"/>
                <w:sz w:val="21"/>
                <w:szCs w:val="21"/>
              </w:rPr>
              <w:t>Prodotti alimentari e bevande analcoliche</w:t>
            </w:r>
          </w:p>
        </w:tc>
        <w:tc>
          <w:tcPr>
            <w:tcW w:w="1055" w:type="dxa"/>
            <w:shd w:val="clear" w:color="000000" w:fill="003366"/>
            <w:noWrap/>
            <w:hideMark/>
          </w:tcPr>
          <w:p w14:paraId="5DC2D8B1" w14:textId="117FBA64" w:rsidR="00C70D65" w:rsidRPr="004C1D16" w:rsidRDefault="00C70D65">
            <w:pPr>
              <w:spacing w:before="40" w:after="20"/>
              <w:contextualSpacing/>
              <w:jc w:val="right"/>
              <w:rPr>
                <w:rFonts w:ascii="Arial Narrow" w:hAnsi="Arial Narrow"/>
                <w:b/>
                <w:bCs/>
                <w:color w:val="FFFFFF" w:themeColor="background1"/>
                <w:sz w:val="21"/>
                <w:szCs w:val="21"/>
              </w:rPr>
            </w:pPr>
            <w:r w:rsidRPr="004C1D16">
              <w:rPr>
                <w:rFonts w:ascii="Arial Narrow" w:hAnsi="Arial Narrow"/>
                <w:b/>
                <w:bCs/>
                <w:color w:val="FFFFFF"/>
                <w:sz w:val="21"/>
                <w:szCs w:val="21"/>
              </w:rPr>
              <w:t>464,27</w:t>
            </w:r>
          </w:p>
        </w:tc>
        <w:tc>
          <w:tcPr>
            <w:tcW w:w="1056" w:type="dxa"/>
            <w:shd w:val="clear" w:color="000000" w:fill="003366"/>
            <w:noWrap/>
            <w:hideMark/>
          </w:tcPr>
          <w:p w14:paraId="16FFE721" w14:textId="5EE957DA" w:rsidR="00C70D65" w:rsidRPr="004C1D16" w:rsidRDefault="00C70D65">
            <w:pPr>
              <w:spacing w:before="40" w:after="20"/>
              <w:contextualSpacing/>
              <w:jc w:val="center"/>
              <w:rPr>
                <w:rFonts w:ascii="Arial Narrow" w:hAnsi="Arial Narrow"/>
                <w:b/>
                <w:bCs/>
                <w:color w:val="FFFFFF" w:themeColor="background1"/>
                <w:sz w:val="21"/>
                <w:szCs w:val="21"/>
              </w:rPr>
            </w:pPr>
            <w:r w:rsidRPr="004C1D16">
              <w:rPr>
                <w:rFonts w:ascii="Arial Narrow" w:hAnsi="Arial Narrow"/>
                <w:b/>
                <w:bCs/>
                <w:color w:val="FFFFFF" w:themeColor="background1"/>
                <w:sz w:val="21"/>
                <w:szCs w:val="21"/>
              </w:rPr>
              <w:t>0,6</w:t>
            </w:r>
          </w:p>
        </w:tc>
        <w:tc>
          <w:tcPr>
            <w:tcW w:w="1055" w:type="dxa"/>
            <w:shd w:val="clear" w:color="000000" w:fill="003366"/>
            <w:noWrap/>
            <w:hideMark/>
          </w:tcPr>
          <w:p w14:paraId="725294E2" w14:textId="3E500413" w:rsidR="00C70D65" w:rsidRPr="004C1D16" w:rsidRDefault="0076107D">
            <w:pPr>
              <w:spacing w:before="40" w:after="20"/>
              <w:contextualSpacing/>
              <w:jc w:val="right"/>
              <w:rPr>
                <w:rFonts w:ascii="Arial Narrow" w:hAnsi="Arial Narrow"/>
                <w:b/>
                <w:bCs/>
                <w:color w:val="FFFFFF"/>
                <w:sz w:val="21"/>
                <w:szCs w:val="21"/>
              </w:rPr>
            </w:pPr>
            <w:r w:rsidRPr="004C1D16">
              <w:rPr>
                <w:rFonts w:ascii="Arial Narrow" w:hAnsi="Arial Narrow"/>
                <w:b/>
                <w:bCs/>
                <w:color w:val="FFFFFF"/>
                <w:sz w:val="21"/>
                <w:szCs w:val="21"/>
              </w:rPr>
              <w:t>467</w:t>
            </w:r>
            <w:r w:rsidR="00C70D65" w:rsidRPr="004C1D16">
              <w:rPr>
                <w:rFonts w:ascii="Arial Narrow" w:hAnsi="Arial Narrow"/>
                <w:b/>
                <w:bCs/>
                <w:color w:val="FFFFFF"/>
                <w:sz w:val="21"/>
                <w:szCs w:val="21"/>
              </w:rPr>
              <w:t>,</w:t>
            </w:r>
            <w:r w:rsidRPr="004C1D16">
              <w:rPr>
                <w:rFonts w:ascii="Arial Narrow" w:hAnsi="Arial Narrow"/>
                <w:b/>
                <w:bCs/>
                <w:color w:val="FFFFFF"/>
                <w:sz w:val="21"/>
                <w:szCs w:val="21"/>
              </w:rPr>
              <w:t>56</w:t>
            </w:r>
          </w:p>
        </w:tc>
        <w:tc>
          <w:tcPr>
            <w:tcW w:w="1056" w:type="dxa"/>
            <w:shd w:val="clear" w:color="000000" w:fill="003366"/>
            <w:noWrap/>
            <w:vAlign w:val="center"/>
            <w:hideMark/>
          </w:tcPr>
          <w:p w14:paraId="65268F45" w14:textId="28C68EE6" w:rsidR="00C70D65" w:rsidRPr="004C1D16" w:rsidRDefault="00C70D65">
            <w:pPr>
              <w:spacing w:before="40" w:after="20"/>
              <w:contextualSpacing/>
              <w:jc w:val="center"/>
              <w:rPr>
                <w:rFonts w:ascii="Arial Narrow" w:hAnsi="Arial Narrow"/>
                <w:b/>
                <w:bCs/>
                <w:color w:val="FFFFFF"/>
                <w:sz w:val="21"/>
                <w:szCs w:val="21"/>
              </w:rPr>
            </w:pPr>
            <w:r w:rsidRPr="004C1D16">
              <w:rPr>
                <w:rFonts w:ascii="Arial Narrow" w:hAnsi="Arial Narrow"/>
                <w:b/>
                <w:bCs/>
                <w:color w:val="FFFFFF"/>
                <w:sz w:val="21"/>
                <w:szCs w:val="21"/>
              </w:rPr>
              <w:t>0,6</w:t>
            </w:r>
          </w:p>
        </w:tc>
        <w:tc>
          <w:tcPr>
            <w:tcW w:w="0" w:type="auto"/>
            <w:shd w:val="clear" w:color="000000" w:fill="003366"/>
            <w:noWrap/>
            <w:vAlign w:val="center"/>
            <w:hideMark/>
          </w:tcPr>
          <w:p w14:paraId="13533CEF" w14:textId="0BA5415A" w:rsidR="00C70D65" w:rsidRPr="004C1D16" w:rsidRDefault="00C70D65">
            <w:pPr>
              <w:spacing w:before="40" w:after="20"/>
              <w:contextualSpacing/>
              <w:jc w:val="center"/>
              <w:rPr>
                <w:rFonts w:ascii="Arial Narrow" w:hAnsi="Arial Narrow"/>
                <w:b/>
                <w:bCs/>
                <w:color w:val="FFFFFF"/>
                <w:sz w:val="21"/>
                <w:szCs w:val="21"/>
              </w:rPr>
            </w:pPr>
          </w:p>
        </w:tc>
      </w:tr>
      <w:tr w:rsidR="00C70D65" w:rsidRPr="004C1D16" w14:paraId="60E243B7" w14:textId="77777777" w:rsidTr="00814A59">
        <w:trPr>
          <w:trHeight w:val="227"/>
        </w:trPr>
        <w:tc>
          <w:tcPr>
            <w:tcW w:w="0" w:type="auto"/>
            <w:shd w:val="clear" w:color="auto" w:fill="auto"/>
            <w:vAlign w:val="center"/>
            <w:hideMark/>
          </w:tcPr>
          <w:p w14:paraId="15942D84"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Pane e cereali</w:t>
            </w:r>
          </w:p>
        </w:tc>
        <w:tc>
          <w:tcPr>
            <w:tcW w:w="1055" w:type="dxa"/>
            <w:shd w:val="clear" w:color="000000" w:fill="E6E6E6"/>
            <w:vAlign w:val="center"/>
            <w:hideMark/>
          </w:tcPr>
          <w:p w14:paraId="70A2D2ED" w14:textId="73242424"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76,45</w:t>
            </w:r>
          </w:p>
        </w:tc>
        <w:tc>
          <w:tcPr>
            <w:tcW w:w="1056" w:type="dxa"/>
            <w:shd w:val="clear" w:color="auto" w:fill="auto"/>
            <w:vAlign w:val="center"/>
            <w:hideMark/>
          </w:tcPr>
          <w:p w14:paraId="3182D438" w14:textId="1C59E0AF"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0,7</w:t>
            </w:r>
          </w:p>
        </w:tc>
        <w:tc>
          <w:tcPr>
            <w:tcW w:w="1055" w:type="dxa"/>
            <w:shd w:val="clear" w:color="000000" w:fill="E6E6E6"/>
            <w:vAlign w:val="center"/>
            <w:hideMark/>
          </w:tcPr>
          <w:p w14:paraId="0314476F" w14:textId="67D52D2C"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76</w:t>
            </w:r>
            <w:r w:rsidR="00C70D65" w:rsidRPr="004C1D16">
              <w:rPr>
                <w:rFonts w:ascii="Arial Narrow" w:hAnsi="Arial Narrow"/>
                <w:color w:val="1F497D"/>
                <w:sz w:val="21"/>
                <w:szCs w:val="21"/>
              </w:rPr>
              <w:t>,</w:t>
            </w:r>
            <w:r w:rsidRPr="004C1D16">
              <w:rPr>
                <w:rFonts w:ascii="Arial Narrow" w:hAnsi="Arial Narrow"/>
                <w:color w:val="1F497D"/>
                <w:sz w:val="21"/>
                <w:szCs w:val="21"/>
              </w:rPr>
              <w:t>08</w:t>
            </w:r>
          </w:p>
        </w:tc>
        <w:tc>
          <w:tcPr>
            <w:tcW w:w="1056" w:type="dxa"/>
            <w:shd w:val="clear" w:color="auto" w:fill="auto"/>
            <w:vAlign w:val="center"/>
            <w:hideMark/>
          </w:tcPr>
          <w:p w14:paraId="3C050DB2" w14:textId="4FEC4EB4"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w:t>
            </w:r>
            <w:r w:rsidR="002117CF" w:rsidRPr="004C1D16">
              <w:rPr>
                <w:rFonts w:ascii="Arial Narrow" w:hAnsi="Arial Narrow"/>
                <w:color w:val="1F497D"/>
                <w:sz w:val="21"/>
                <w:szCs w:val="21"/>
              </w:rPr>
              <w:t>6</w:t>
            </w:r>
          </w:p>
        </w:tc>
        <w:tc>
          <w:tcPr>
            <w:tcW w:w="0" w:type="auto"/>
            <w:shd w:val="clear" w:color="auto" w:fill="auto"/>
            <w:vAlign w:val="bottom"/>
          </w:tcPr>
          <w:p w14:paraId="28EB2B20" w14:textId="15C1712E" w:rsidR="00C70D65" w:rsidRPr="004C1D16" w:rsidRDefault="00C70D65">
            <w:pPr>
              <w:spacing w:before="40" w:after="20"/>
              <w:contextualSpacing/>
              <w:jc w:val="center"/>
              <w:rPr>
                <w:rFonts w:ascii="Arial Narrow" w:hAnsi="Arial Narrow"/>
                <w:color w:val="1F497D"/>
                <w:sz w:val="21"/>
                <w:szCs w:val="21"/>
              </w:rPr>
            </w:pPr>
          </w:p>
        </w:tc>
      </w:tr>
      <w:tr w:rsidR="00C70D65" w:rsidRPr="004C1D16" w14:paraId="7B83C2EF" w14:textId="77777777" w:rsidTr="00814A59">
        <w:trPr>
          <w:trHeight w:val="227"/>
        </w:trPr>
        <w:tc>
          <w:tcPr>
            <w:tcW w:w="0" w:type="auto"/>
            <w:shd w:val="clear" w:color="auto" w:fill="auto"/>
            <w:vAlign w:val="center"/>
            <w:hideMark/>
          </w:tcPr>
          <w:p w14:paraId="634C9C32"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Carni</w:t>
            </w:r>
          </w:p>
        </w:tc>
        <w:tc>
          <w:tcPr>
            <w:tcW w:w="1055" w:type="dxa"/>
            <w:shd w:val="clear" w:color="000000" w:fill="E6E6E6"/>
            <w:vAlign w:val="center"/>
            <w:hideMark/>
          </w:tcPr>
          <w:p w14:paraId="0D110667" w14:textId="7DE70B28"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98,29</w:t>
            </w:r>
          </w:p>
        </w:tc>
        <w:tc>
          <w:tcPr>
            <w:tcW w:w="1056" w:type="dxa"/>
            <w:shd w:val="clear" w:color="auto" w:fill="auto"/>
            <w:vAlign w:val="center"/>
            <w:hideMark/>
          </w:tcPr>
          <w:p w14:paraId="612F67E5" w14:textId="64611198"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0,7</w:t>
            </w:r>
          </w:p>
        </w:tc>
        <w:tc>
          <w:tcPr>
            <w:tcW w:w="1055" w:type="dxa"/>
            <w:shd w:val="clear" w:color="000000" w:fill="E6E6E6"/>
            <w:vAlign w:val="center"/>
            <w:hideMark/>
          </w:tcPr>
          <w:p w14:paraId="72B1AB28" w14:textId="34B9F9EA"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101</w:t>
            </w:r>
            <w:r w:rsidR="00C70D65" w:rsidRPr="004C1D16">
              <w:rPr>
                <w:rFonts w:ascii="Arial Narrow" w:hAnsi="Arial Narrow"/>
                <w:color w:val="1F497D"/>
                <w:sz w:val="21"/>
                <w:szCs w:val="21"/>
              </w:rPr>
              <w:t>,</w:t>
            </w:r>
            <w:r w:rsidRPr="004C1D16">
              <w:rPr>
                <w:rFonts w:ascii="Arial Narrow" w:hAnsi="Arial Narrow"/>
                <w:color w:val="1F497D"/>
                <w:sz w:val="21"/>
                <w:szCs w:val="21"/>
              </w:rPr>
              <w:t>68</w:t>
            </w:r>
          </w:p>
        </w:tc>
        <w:tc>
          <w:tcPr>
            <w:tcW w:w="1056" w:type="dxa"/>
            <w:shd w:val="clear" w:color="auto" w:fill="auto"/>
            <w:vAlign w:val="center"/>
            <w:hideMark/>
          </w:tcPr>
          <w:p w14:paraId="25001E1C" w14:textId="6D335B06" w:rsidR="00C70D65" w:rsidRPr="004C1D16" w:rsidRDefault="002117CF">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0,8</w:t>
            </w:r>
          </w:p>
        </w:tc>
        <w:tc>
          <w:tcPr>
            <w:tcW w:w="0" w:type="auto"/>
            <w:shd w:val="clear" w:color="auto" w:fill="auto"/>
            <w:vAlign w:val="bottom"/>
          </w:tcPr>
          <w:p w14:paraId="108FE653" w14:textId="524228C9"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3C99BAC2" w14:textId="77777777" w:rsidTr="00814A59">
        <w:trPr>
          <w:trHeight w:val="227"/>
        </w:trPr>
        <w:tc>
          <w:tcPr>
            <w:tcW w:w="0" w:type="auto"/>
            <w:shd w:val="clear" w:color="auto" w:fill="auto"/>
            <w:vAlign w:val="center"/>
            <w:hideMark/>
          </w:tcPr>
          <w:p w14:paraId="08DA414A"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Pesci e prodotti ittici</w:t>
            </w:r>
          </w:p>
        </w:tc>
        <w:tc>
          <w:tcPr>
            <w:tcW w:w="1055" w:type="dxa"/>
            <w:shd w:val="clear" w:color="000000" w:fill="E6E6E6"/>
            <w:vAlign w:val="center"/>
            <w:hideMark/>
          </w:tcPr>
          <w:p w14:paraId="38076E1A" w14:textId="69F783A1"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41,22</w:t>
            </w:r>
          </w:p>
        </w:tc>
        <w:tc>
          <w:tcPr>
            <w:tcW w:w="1056" w:type="dxa"/>
            <w:shd w:val="clear" w:color="auto" w:fill="auto"/>
            <w:vAlign w:val="center"/>
            <w:hideMark/>
          </w:tcPr>
          <w:p w14:paraId="1017BA75" w14:textId="21354F3E"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1,2</w:t>
            </w:r>
          </w:p>
        </w:tc>
        <w:tc>
          <w:tcPr>
            <w:tcW w:w="1055" w:type="dxa"/>
            <w:shd w:val="clear" w:color="000000" w:fill="E6E6E6"/>
            <w:vAlign w:val="center"/>
            <w:hideMark/>
          </w:tcPr>
          <w:p w14:paraId="7958DA44" w14:textId="6DE24B6B" w:rsidR="00C70D65" w:rsidRPr="004C1D16" w:rsidRDefault="0076107D">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41,08</w:t>
            </w:r>
          </w:p>
        </w:tc>
        <w:tc>
          <w:tcPr>
            <w:tcW w:w="1056" w:type="dxa"/>
            <w:shd w:val="clear" w:color="auto" w:fill="auto"/>
            <w:vAlign w:val="center"/>
            <w:hideMark/>
          </w:tcPr>
          <w:p w14:paraId="60BA52A5" w14:textId="082D0C0D"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1</w:t>
            </w:r>
          </w:p>
        </w:tc>
        <w:tc>
          <w:tcPr>
            <w:tcW w:w="0" w:type="auto"/>
            <w:shd w:val="clear" w:color="auto" w:fill="auto"/>
            <w:vAlign w:val="bottom"/>
          </w:tcPr>
          <w:p w14:paraId="67016C04" w14:textId="0D86FA52" w:rsidR="00C70D65" w:rsidRPr="004C1D16" w:rsidRDefault="00C70D65">
            <w:pPr>
              <w:spacing w:before="40" w:after="20"/>
              <w:contextualSpacing/>
              <w:jc w:val="center"/>
              <w:rPr>
                <w:rFonts w:ascii="Arial Narrow" w:hAnsi="Arial Narrow"/>
                <w:color w:val="1F497D"/>
                <w:sz w:val="21"/>
                <w:szCs w:val="21"/>
              </w:rPr>
            </w:pPr>
          </w:p>
        </w:tc>
      </w:tr>
      <w:tr w:rsidR="00C70D65" w:rsidRPr="004C1D16" w14:paraId="4484ECAA" w14:textId="77777777" w:rsidTr="00814A59">
        <w:trPr>
          <w:trHeight w:val="227"/>
        </w:trPr>
        <w:tc>
          <w:tcPr>
            <w:tcW w:w="0" w:type="auto"/>
            <w:shd w:val="clear" w:color="auto" w:fill="auto"/>
            <w:vAlign w:val="center"/>
            <w:hideMark/>
          </w:tcPr>
          <w:p w14:paraId="709E6E21"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Latte, formaggi e uova</w:t>
            </w:r>
          </w:p>
        </w:tc>
        <w:tc>
          <w:tcPr>
            <w:tcW w:w="1055" w:type="dxa"/>
            <w:shd w:val="clear" w:color="000000" w:fill="E6E6E6"/>
            <w:vAlign w:val="center"/>
            <w:hideMark/>
          </w:tcPr>
          <w:p w14:paraId="08F3D709" w14:textId="15311B92"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59,12</w:t>
            </w:r>
          </w:p>
        </w:tc>
        <w:tc>
          <w:tcPr>
            <w:tcW w:w="1056" w:type="dxa"/>
            <w:shd w:val="clear" w:color="auto" w:fill="auto"/>
            <w:vAlign w:val="center"/>
            <w:hideMark/>
          </w:tcPr>
          <w:p w14:paraId="0D8D2F17" w14:textId="24813578"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0,7</w:t>
            </w:r>
          </w:p>
        </w:tc>
        <w:tc>
          <w:tcPr>
            <w:tcW w:w="1055" w:type="dxa"/>
            <w:shd w:val="clear" w:color="000000" w:fill="E6E6E6"/>
            <w:vAlign w:val="center"/>
            <w:hideMark/>
          </w:tcPr>
          <w:p w14:paraId="7C544F62" w14:textId="7FDC1AAD"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62</w:t>
            </w:r>
            <w:r w:rsidR="00C70D65" w:rsidRPr="004C1D16">
              <w:rPr>
                <w:rFonts w:ascii="Arial Narrow" w:hAnsi="Arial Narrow"/>
                <w:color w:val="1F497D"/>
                <w:sz w:val="21"/>
                <w:szCs w:val="21"/>
              </w:rPr>
              <w:t>,</w:t>
            </w:r>
            <w:r w:rsidRPr="004C1D16">
              <w:rPr>
                <w:rFonts w:ascii="Arial Narrow" w:hAnsi="Arial Narrow"/>
                <w:color w:val="1F497D"/>
                <w:sz w:val="21"/>
                <w:szCs w:val="21"/>
              </w:rPr>
              <w:t>11</w:t>
            </w:r>
          </w:p>
        </w:tc>
        <w:tc>
          <w:tcPr>
            <w:tcW w:w="1056" w:type="dxa"/>
            <w:shd w:val="clear" w:color="auto" w:fill="auto"/>
            <w:vAlign w:val="center"/>
            <w:hideMark/>
          </w:tcPr>
          <w:p w14:paraId="49764E20" w14:textId="01777662"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0,7</w:t>
            </w:r>
          </w:p>
        </w:tc>
        <w:tc>
          <w:tcPr>
            <w:tcW w:w="0" w:type="auto"/>
            <w:shd w:val="clear" w:color="auto" w:fill="auto"/>
            <w:vAlign w:val="bottom"/>
          </w:tcPr>
          <w:p w14:paraId="5A9FEE46" w14:textId="4F23789E"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7E5555D8" w14:textId="77777777" w:rsidTr="00814A59">
        <w:trPr>
          <w:trHeight w:val="227"/>
        </w:trPr>
        <w:tc>
          <w:tcPr>
            <w:tcW w:w="0" w:type="auto"/>
            <w:shd w:val="clear" w:color="auto" w:fill="auto"/>
            <w:vAlign w:val="center"/>
            <w:hideMark/>
          </w:tcPr>
          <w:p w14:paraId="3A780B8D"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Oli e grassi</w:t>
            </w:r>
          </w:p>
        </w:tc>
        <w:tc>
          <w:tcPr>
            <w:tcW w:w="1055" w:type="dxa"/>
            <w:shd w:val="clear" w:color="000000" w:fill="E6E6E6"/>
            <w:vAlign w:val="center"/>
            <w:hideMark/>
          </w:tcPr>
          <w:p w14:paraId="2A5FF93D" w14:textId="1E3B17C3"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15,93</w:t>
            </w:r>
          </w:p>
        </w:tc>
        <w:tc>
          <w:tcPr>
            <w:tcW w:w="1056" w:type="dxa"/>
            <w:shd w:val="clear" w:color="auto" w:fill="auto"/>
            <w:vAlign w:val="center"/>
            <w:hideMark/>
          </w:tcPr>
          <w:p w14:paraId="3EE96AE8" w14:textId="39C6E890"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1,6</w:t>
            </w:r>
          </w:p>
        </w:tc>
        <w:tc>
          <w:tcPr>
            <w:tcW w:w="1055" w:type="dxa"/>
            <w:shd w:val="clear" w:color="000000" w:fill="E6E6E6"/>
            <w:vAlign w:val="center"/>
            <w:hideMark/>
          </w:tcPr>
          <w:p w14:paraId="1BB726A4" w14:textId="56A0EE26"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14</w:t>
            </w:r>
            <w:r w:rsidR="00C70D65" w:rsidRPr="004C1D16">
              <w:rPr>
                <w:rFonts w:ascii="Arial Narrow" w:hAnsi="Arial Narrow"/>
                <w:color w:val="1F497D"/>
                <w:sz w:val="21"/>
                <w:szCs w:val="21"/>
              </w:rPr>
              <w:t>,</w:t>
            </w:r>
            <w:r w:rsidRPr="004C1D16">
              <w:rPr>
                <w:rFonts w:ascii="Arial Narrow" w:hAnsi="Arial Narrow"/>
                <w:color w:val="1F497D"/>
                <w:sz w:val="21"/>
                <w:szCs w:val="21"/>
              </w:rPr>
              <w:t>81</w:t>
            </w:r>
          </w:p>
        </w:tc>
        <w:tc>
          <w:tcPr>
            <w:tcW w:w="1056" w:type="dxa"/>
            <w:shd w:val="clear" w:color="auto" w:fill="auto"/>
            <w:vAlign w:val="center"/>
            <w:hideMark/>
          </w:tcPr>
          <w:p w14:paraId="5C522BAE" w14:textId="676D9023"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1,6</w:t>
            </w:r>
          </w:p>
        </w:tc>
        <w:tc>
          <w:tcPr>
            <w:tcW w:w="0" w:type="auto"/>
            <w:shd w:val="clear" w:color="auto" w:fill="auto"/>
            <w:vAlign w:val="bottom"/>
          </w:tcPr>
          <w:p w14:paraId="5762A4B3" w14:textId="1ED717D2"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1C182417" w14:textId="77777777" w:rsidTr="00814A59">
        <w:trPr>
          <w:trHeight w:val="227"/>
        </w:trPr>
        <w:tc>
          <w:tcPr>
            <w:tcW w:w="0" w:type="auto"/>
            <w:shd w:val="clear" w:color="auto" w:fill="auto"/>
            <w:vAlign w:val="center"/>
            <w:hideMark/>
          </w:tcPr>
          <w:p w14:paraId="2ACB321C"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Frutta</w:t>
            </w:r>
          </w:p>
        </w:tc>
        <w:tc>
          <w:tcPr>
            <w:tcW w:w="1055" w:type="dxa"/>
            <w:shd w:val="clear" w:color="000000" w:fill="E6E6E6"/>
            <w:vAlign w:val="center"/>
            <w:hideMark/>
          </w:tcPr>
          <w:p w14:paraId="504E3290" w14:textId="5E20ED16"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42,18</w:t>
            </w:r>
          </w:p>
        </w:tc>
        <w:tc>
          <w:tcPr>
            <w:tcW w:w="1056" w:type="dxa"/>
            <w:shd w:val="clear" w:color="auto" w:fill="auto"/>
            <w:vAlign w:val="center"/>
            <w:hideMark/>
          </w:tcPr>
          <w:p w14:paraId="62F6A8B5" w14:textId="5EEE07F7"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0,8</w:t>
            </w:r>
          </w:p>
        </w:tc>
        <w:tc>
          <w:tcPr>
            <w:tcW w:w="1055" w:type="dxa"/>
            <w:shd w:val="clear" w:color="000000" w:fill="E6E6E6"/>
            <w:vAlign w:val="center"/>
            <w:hideMark/>
          </w:tcPr>
          <w:p w14:paraId="2BB32543" w14:textId="1F0E5CD6"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42,</w:t>
            </w:r>
            <w:r w:rsidR="002117CF" w:rsidRPr="004C1D16">
              <w:rPr>
                <w:rFonts w:ascii="Arial Narrow" w:hAnsi="Arial Narrow"/>
                <w:color w:val="1F497D"/>
                <w:sz w:val="21"/>
                <w:szCs w:val="21"/>
              </w:rPr>
              <w:t>69</w:t>
            </w:r>
          </w:p>
        </w:tc>
        <w:tc>
          <w:tcPr>
            <w:tcW w:w="1056" w:type="dxa"/>
            <w:shd w:val="clear" w:color="auto" w:fill="auto"/>
            <w:vAlign w:val="center"/>
            <w:hideMark/>
          </w:tcPr>
          <w:p w14:paraId="12A93856" w14:textId="294199C2"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0,8</w:t>
            </w:r>
          </w:p>
        </w:tc>
        <w:tc>
          <w:tcPr>
            <w:tcW w:w="0" w:type="auto"/>
            <w:shd w:val="clear" w:color="auto" w:fill="auto"/>
            <w:vAlign w:val="bottom"/>
          </w:tcPr>
          <w:p w14:paraId="00E2E92D" w14:textId="35C72BEB" w:rsidR="00C70D65" w:rsidRPr="004C1D16" w:rsidRDefault="00C70D65">
            <w:pPr>
              <w:spacing w:before="40" w:after="20"/>
              <w:contextualSpacing/>
              <w:jc w:val="center"/>
              <w:rPr>
                <w:rFonts w:ascii="Arial Narrow" w:hAnsi="Arial Narrow"/>
                <w:color w:val="1F497D"/>
                <w:sz w:val="21"/>
                <w:szCs w:val="21"/>
              </w:rPr>
            </w:pPr>
          </w:p>
        </w:tc>
      </w:tr>
      <w:tr w:rsidR="00C70D65" w:rsidRPr="004C1D16" w14:paraId="1DED4E6E" w14:textId="77777777" w:rsidTr="00814A59">
        <w:trPr>
          <w:trHeight w:val="227"/>
        </w:trPr>
        <w:tc>
          <w:tcPr>
            <w:tcW w:w="0" w:type="auto"/>
            <w:shd w:val="clear" w:color="auto" w:fill="auto"/>
            <w:vAlign w:val="center"/>
            <w:hideMark/>
          </w:tcPr>
          <w:p w14:paraId="652D376F"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Vegetali</w:t>
            </w:r>
          </w:p>
        </w:tc>
        <w:tc>
          <w:tcPr>
            <w:tcW w:w="1055" w:type="dxa"/>
            <w:shd w:val="clear" w:color="000000" w:fill="E6E6E6"/>
            <w:vAlign w:val="center"/>
            <w:hideMark/>
          </w:tcPr>
          <w:p w14:paraId="12B481B2" w14:textId="6083F60E"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63,45</w:t>
            </w:r>
          </w:p>
        </w:tc>
        <w:tc>
          <w:tcPr>
            <w:tcW w:w="1056" w:type="dxa"/>
            <w:shd w:val="clear" w:color="auto" w:fill="auto"/>
            <w:vAlign w:val="center"/>
            <w:hideMark/>
          </w:tcPr>
          <w:p w14:paraId="31E035CC" w14:textId="667C5D7E"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0,9</w:t>
            </w:r>
          </w:p>
        </w:tc>
        <w:tc>
          <w:tcPr>
            <w:tcW w:w="1055" w:type="dxa"/>
            <w:shd w:val="clear" w:color="000000" w:fill="E6E6E6"/>
            <w:vAlign w:val="center"/>
            <w:hideMark/>
          </w:tcPr>
          <w:p w14:paraId="017CAC6E" w14:textId="158CA245"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63,</w:t>
            </w:r>
            <w:r w:rsidR="002117CF" w:rsidRPr="004C1D16">
              <w:rPr>
                <w:rFonts w:ascii="Arial Narrow" w:hAnsi="Arial Narrow"/>
                <w:color w:val="1F497D"/>
                <w:sz w:val="21"/>
                <w:szCs w:val="21"/>
              </w:rPr>
              <w:t>85</w:t>
            </w:r>
          </w:p>
        </w:tc>
        <w:tc>
          <w:tcPr>
            <w:tcW w:w="1056" w:type="dxa"/>
            <w:shd w:val="clear" w:color="auto" w:fill="auto"/>
            <w:vAlign w:val="center"/>
            <w:hideMark/>
          </w:tcPr>
          <w:p w14:paraId="26EF98DB" w14:textId="3B766505" w:rsidR="00C70D65" w:rsidRPr="004C1D16" w:rsidRDefault="002117CF">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0,8</w:t>
            </w:r>
          </w:p>
        </w:tc>
        <w:tc>
          <w:tcPr>
            <w:tcW w:w="0" w:type="auto"/>
            <w:shd w:val="clear" w:color="auto" w:fill="auto"/>
            <w:vAlign w:val="bottom"/>
          </w:tcPr>
          <w:p w14:paraId="50C7D96F" w14:textId="34EC98E9" w:rsidR="00C70D65" w:rsidRPr="004C1D16" w:rsidRDefault="00C70D65">
            <w:pPr>
              <w:spacing w:before="40" w:after="20"/>
              <w:contextualSpacing/>
              <w:jc w:val="center"/>
              <w:rPr>
                <w:rFonts w:ascii="Arial Narrow" w:hAnsi="Arial Narrow"/>
                <w:color w:val="1F497D"/>
                <w:sz w:val="21"/>
                <w:szCs w:val="21"/>
              </w:rPr>
            </w:pPr>
          </w:p>
        </w:tc>
      </w:tr>
      <w:tr w:rsidR="00C70D65" w:rsidRPr="004C1D16" w14:paraId="2342043D" w14:textId="77777777" w:rsidTr="00814A59">
        <w:trPr>
          <w:trHeight w:val="227"/>
        </w:trPr>
        <w:tc>
          <w:tcPr>
            <w:tcW w:w="0" w:type="auto"/>
            <w:shd w:val="clear" w:color="auto" w:fill="auto"/>
            <w:vAlign w:val="center"/>
            <w:hideMark/>
          </w:tcPr>
          <w:p w14:paraId="33E69EB0"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Zucchero, confetture, miele, cioccolato e dolciumi</w:t>
            </w:r>
          </w:p>
        </w:tc>
        <w:tc>
          <w:tcPr>
            <w:tcW w:w="1055" w:type="dxa"/>
            <w:shd w:val="clear" w:color="000000" w:fill="E6E6E6"/>
            <w:vAlign w:val="center"/>
            <w:hideMark/>
          </w:tcPr>
          <w:p w14:paraId="31629FC7" w14:textId="57620534"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19,17</w:t>
            </w:r>
          </w:p>
        </w:tc>
        <w:tc>
          <w:tcPr>
            <w:tcW w:w="1056" w:type="dxa"/>
            <w:shd w:val="clear" w:color="auto" w:fill="auto"/>
            <w:vAlign w:val="center"/>
            <w:hideMark/>
          </w:tcPr>
          <w:p w14:paraId="2F9866F7" w14:textId="3B02A66D"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1,1</w:t>
            </w:r>
          </w:p>
        </w:tc>
        <w:tc>
          <w:tcPr>
            <w:tcW w:w="1055" w:type="dxa"/>
            <w:shd w:val="clear" w:color="000000" w:fill="E6E6E6"/>
            <w:vAlign w:val="center"/>
            <w:hideMark/>
          </w:tcPr>
          <w:p w14:paraId="04B2EB20" w14:textId="0F42D1F4"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7</w:t>
            </w:r>
            <w:r w:rsidRPr="004C1D16">
              <w:rPr>
                <w:rFonts w:ascii="Arial Narrow" w:hAnsi="Arial Narrow"/>
                <w:color w:val="1F497D"/>
                <w:sz w:val="21"/>
                <w:szCs w:val="21"/>
              </w:rPr>
              <w:t>,</w:t>
            </w:r>
            <w:r w:rsidR="002117CF" w:rsidRPr="004C1D16">
              <w:rPr>
                <w:rFonts w:ascii="Arial Narrow" w:hAnsi="Arial Narrow"/>
                <w:color w:val="1F497D"/>
                <w:sz w:val="21"/>
                <w:szCs w:val="21"/>
              </w:rPr>
              <w:t>94</w:t>
            </w:r>
          </w:p>
        </w:tc>
        <w:tc>
          <w:tcPr>
            <w:tcW w:w="1056" w:type="dxa"/>
            <w:shd w:val="clear" w:color="auto" w:fill="auto"/>
            <w:vAlign w:val="center"/>
            <w:hideMark/>
          </w:tcPr>
          <w:p w14:paraId="5EF2D27C" w14:textId="68F3ADF3"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,0</w:t>
            </w:r>
          </w:p>
        </w:tc>
        <w:tc>
          <w:tcPr>
            <w:tcW w:w="0" w:type="auto"/>
            <w:shd w:val="clear" w:color="auto" w:fill="auto"/>
            <w:vAlign w:val="bottom"/>
          </w:tcPr>
          <w:p w14:paraId="2481D12A" w14:textId="3CB9A5A3"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711D69AE" w14:textId="77777777" w:rsidTr="00814A59">
        <w:trPr>
          <w:trHeight w:val="227"/>
        </w:trPr>
        <w:tc>
          <w:tcPr>
            <w:tcW w:w="0" w:type="auto"/>
            <w:shd w:val="clear" w:color="auto" w:fill="auto"/>
            <w:vAlign w:val="center"/>
            <w:hideMark/>
          </w:tcPr>
          <w:p w14:paraId="36A952AE" w14:textId="1BFC3275" w:rsidR="00C70D65" w:rsidRPr="004C1D16" w:rsidRDefault="00C70D65">
            <w:pPr>
              <w:spacing w:before="40" w:after="20"/>
              <w:ind w:left="155"/>
              <w:contextualSpacing/>
              <w:rPr>
                <w:rFonts w:ascii="Arial Narrow" w:hAnsi="Arial Narrow"/>
                <w:color w:val="1F497D"/>
                <w:sz w:val="21"/>
                <w:szCs w:val="21"/>
              </w:rPr>
            </w:pPr>
            <w:r w:rsidRPr="004C1D16">
              <w:rPr>
                <w:rFonts w:ascii="Arial Narrow" w:hAnsi="Arial Narrow"/>
                <w:color w:val="1F497D"/>
                <w:sz w:val="21"/>
                <w:szCs w:val="21"/>
              </w:rPr>
              <w:t>Piatti pronti e altre preparazioni alimentari (prodotti alimentari n.a.c.)</w:t>
            </w:r>
          </w:p>
        </w:tc>
        <w:tc>
          <w:tcPr>
            <w:tcW w:w="1055" w:type="dxa"/>
            <w:shd w:val="clear" w:color="000000" w:fill="E6E6E6"/>
            <w:vAlign w:val="center"/>
            <w:hideMark/>
          </w:tcPr>
          <w:p w14:paraId="18D5B1BC" w14:textId="6F1A2EEC"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10,99</w:t>
            </w:r>
          </w:p>
        </w:tc>
        <w:tc>
          <w:tcPr>
            <w:tcW w:w="1056" w:type="dxa"/>
            <w:shd w:val="clear" w:color="auto" w:fill="auto"/>
            <w:vAlign w:val="center"/>
            <w:hideMark/>
          </w:tcPr>
          <w:p w14:paraId="59102893" w14:textId="0B2BAEE7"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1,8</w:t>
            </w:r>
          </w:p>
        </w:tc>
        <w:tc>
          <w:tcPr>
            <w:tcW w:w="1055" w:type="dxa"/>
            <w:shd w:val="clear" w:color="000000" w:fill="E6E6E6"/>
            <w:vAlign w:val="center"/>
            <w:hideMark/>
          </w:tcPr>
          <w:p w14:paraId="5BF180D8" w14:textId="09C9A979"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10,9</w:t>
            </w:r>
            <w:r w:rsidR="002117CF" w:rsidRPr="004C1D16">
              <w:rPr>
                <w:rFonts w:ascii="Arial Narrow" w:hAnsi="Arial Narrow"/>
                <w:color w:val="1F497D"/>
                <w:sz w:val="21"/>
                <w:szCs w:val="21"/>
              </w:rPr>
              <w:t>7</w:t>
            </w:r>
          </w:p>
        </w:tc>
        <w:tc>
          <w:tcPr>
            <w:tcW w:w="1056" w:type="dxa"/>
            <w:shd w:val="clear" w:color="auto" w:fill="auto"/>
            <w:vAlign w:val="center"/>
            <w:hideMark/>
          </w:tcPr>
          <w:p w14:paraId="5AE8B875" w14:textId="2F795E49"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7</w:t>
            </w:r>
          </w:p>
        </w:tc>
        <w:tc>
          <w:tcPr>
            <w:tcW w:w="0" w:type="auto"/>
            <w:shd w:val="clear" w:color="auto" w:fill="auto"/>
            <w:vAlign w:val="bottom"/>
          </w:tcPr>
          <w:p w14:paraId="2CF9401D" w14:textId="70DB67CB" w:rsidR="00C70D65" w:rsidRPr="004C1D16" w:rsidRDefault="00C70D65">
            <w:pPr>
              <w:spacing w:before="40" w:after="20"/>
              <w:contextualSpacing/>
              <w:jc w:val="center"/>
              <w:rPr>
                <w:rFonts w:ascii="Arial Narrow" w:hAnsi="Arial Narrow"/>
                <w:color w:val="1F497D"/>
                <w:sz w:val="21"/>
                <w:szCs w:val="21"/>
              </w:rPr>
            </w:pPr>
          </w:p>
        </w:tc>
      </w:tr>
      <w:tr w:rsidR="00C70D65" w:rsidRPr="004C1D16" w14:paraId="448BD433" w14:textId="77777777" w:rsidTr="00814A59">
        <w:trPr>
          <w:trHeight w:val="227"/>
        </w:trPr>
        <w:tc>
          <w:tcPr>
            <w:tcW w:w="0" w:type="auto"/>
            <w:shd w:val="clear" w:color="auto" w:fill="auto"/>
            <w:vAlign w:val="center"/>
            <w:hideMark/>
          </w:tcPr>
          <w:p w14:paraId="106C2D8D"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Caffè, tè e cacao</w:t>
            </w:r>
          </w:p>
        </w:tc>
        <w:tc>
          <w:tcPr>
            <w:tcW w:w="1055" w:type="dxa"/>
            <w:shd w:val="clear" w:color="000000" w:fill="E6E6E6"/>
            <w:vAlign w:val="center"/>
            <w:hideMark/>
          </w:tcPr>
          <w:p w14:paraId="211C3EEF" w14:textId="59DD0ACD"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14,80</w:t>
            </w:r>
          </w:p>
        </w:tc>
        <w:tc>
          <w:tcPr>
            <w:tcW w:w="1056" w:type="dxa"/>
            <w:shd w:val="clear" w:color="auto" w:fill="auto"/>
            <w:vAlign w:val="center"/>
            <w:hideMark/>
          </w:tcPr>
          <w:p w14:paraId="53A71FF4" w14:textId="260098D1"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1,3</w:t>
            </w:r>
          </w:p>
        </w:tc>
        <w:tc>
          <w:tcPr>
            <w:tcW w:w="1055" w:type="dxa"/>
            <w:shd w:val="clear" w:color="000000" w:fill="E6E6E6"/>
            <w:vAlign w:val="center"/>
            <w:hideMark/>
          </w:tcPr>
          <w:p w14:paraId="4D81B845" w14:textId="673F143E"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14,</w:t>
            </w:r>
            <w:r w:rsidR="002117CF" w:rsidRPr="004C1D16">
              <w:rPr>
                <w:rFonts w:ascii="Arial Narrow" w:hAnsi="Arial Narrow"/>
                <w:color w:val="1F497D"/>
                <w:sz w:val="21"/>
                <w:szCs w:val="21"/>
              </w:rPr>
              <w:t>05</w:t>
            </w:r>
          </w:p>
        </w:tc>
        <w:tc>
          <w:tcPr>
            <w:tcW w:w="1056" w:type="dxa"/>
            <w:shd w:val="clear" w:color="auto" w:fill="auto"/>
            <w:vAlign w:val="center"/>
            <w:hideMark/>
          </w:tcPr>
          <w:p w14:paraId="048706BD" w14:textId="798657F7" w:rsidR="00C70D65" w:rsidRPr="004C1D16" w:rsidRDefault="002117CF">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1,2</w:t>
            </w:r>
          </w:p>
        </w:tc>
        <w:tc>
          <w:tcPr>
            <w:tcW w:w="0" w:type="auto"/>
            <w:shd w:val="clear" w:color="auto" w:fill="auto"/>
            <w:vAlign w:val="bottom"/>
          </w:tcPr>
          <w:p w14:paraId="4B1A21B4" w14:textId="39142998"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3969442C" w14:textId="77777777" w:rsidTr="00814A59">
        <w:trPr>
          <w:trHeight w:val="227"/>
        </w:trPr>
        <w:tc>
          <w:tcPr>
            <w:tcW w:w="0" w:type="auto"/>
            <w:shd w:val="clear" w:color="auto" w:fill="auto"/>
            <w:vAlign w:val="center"/>
            <w:hideMark/>
          </w:tcPr>
          <w:p w14:paraId="43589240"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Acque minerali, bevande analcoliche, succhi di frutta e verdura</w:t>
            </w:r>
          </w:p>
        </w:tc>
        <w:tc>
          <w:tcPr>
            <w:tcW w:w="1055" w:type="dxa"/>
            <w:shd w:val="clear" w:color="000000" w:fill="E6E6E6"/>
            <w:vAlign w:val="center"/>
            <w:hideMark/>
          </w:tcPr>
          <w:p w14:paraId="37EF8667" w14:textId="31BE07A2"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22,66</w:t>
            </w:r>
          </w:p>
        </w:tc>
        <w:tc>
          <w:tcPr>
            <w:tcW w:w="1056" w:type="dxa"/>
            <w:shd w:val="clear" w:color="auto" w:fill="auto"/>
            <w:vAlign w:val="center"/>
            <w:hideMark/>
          </w:tcPr>
          <w:p w14:paraId="7B03FF7F" w14:textId="0C77BA57"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1,0</w:t>
            </w:r>
          </w:p>
        </w:tc>
        <w:tc>
          <w:tcPr>
            <w:tcW w:w="1055" w:type="dxa"/>
            <w:shd w:val="clear" w:color="000000" w:fill="E6E6E6"/>
            <w:vAlign w:val="center"/>
            <w:hideMark/>
          </w:tcPr>
          <w:p w14:paraId="636DA26C" w14:textId="4EBB5204"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22,</w:t>
            </w:r>
            <w:r w:rsidR="002117CF" w:rsidRPr="004C1D16">
              <w:rPr>
                <w:rFonts w:ascii="Arial Narrow" w:hAnsi="Arial Narrow"/>
                <w:color w:val="1F497D"/>
                <w:sz w:val="21"/>
                <w:szCs w:val="21"/>
              </w:rPr>
              <w:t>30</w:t>
            </w:r>
          </w:p>
        </w:tc>
        <w:tc>
          <w:tcPr>
            <w:tcW w:w="1056" w:type="dxa"/>
            <w:shd w:val="clear" w:color="auto" w:fill="auto"/>
            <w:vAlign w:val="center"/>
            <w:hideMark/>
          </w:tcPr>
          <w:p w14:paraId="7FFCE9AA" w14:textId="20B02D93" w:rsidR="00C70D65" w:rsidRPr="004C1D16" w:rsidRDefault="002117CF">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0,9</w:t>
            </w:r>
          </w:p>
        </w:tc>
        <w:tc>
          <w:tcPr>
            <w:tcW w:w="0" w:type="auto"/>
            <w:shd w:val="clear" w:color="auto" w:fill="auto"/>
            <w:vAlign w:val="bottom"/>
          </w:tcPr>
          <w:p w14:paraId="249D1632" w14:textId="5A730DAE" w:rsidR="00C70D65" w:rsidRPr="004C1D16" w:rsidRDefault="00C70D65">
            <w:pPr>
              <w:spacing w:before="40" w:after="20"/>
              <w:contextualSpacing/>
              <w:jc w:val="center"/>
              <w:rPr>
                <w:rFonts w:ascii="Arial Narrow" w:hAnsi="Arial Narrow"/>
                <w:color w:val="1F497D"/>
                <w:sz w:val="21"/>
                <w:szCs w:val="21"/>
              </w:rPr>
            </w:pPr>
          </w:p>
        </w:tc>
      </w:tr>
      <w:tr w:rsidR="00C70D65" w:rsidRPr="004C1D16" w14:paraId="720BC6C9" w14:textId="77777777" w:rsidTr="00814A59">
        <w:trPr>
          <w:trHeight w:val="227"/>
        </w:trPr>
        <w:tc>
          <w:tcPr>
            <w:tcW w:w="0" w:type="auto"/>
            <w:shd w:val="clear" w:color="000000" w:fill="003366"/>
            <w:noWrap/>
            <w:vAlign w:val="center"/>
            <w:hideMark/>
          </w:tcPr>
          <w:p w14:paraId="166914D1" w14:textId="77777777" w:rsidR="00C70D65" w:rsidRPr="004C1D16" w:rsidRDefault="00C70D65">
            <w:pPr>
              <w:spacing w:before="40" w:after="20"/>
              <w:contextualSpacing/>
              <w:rPr>
                <w:rFonts w:ascii="Arial Narrow" w:hAnsi="Arial Narrow"/>
                <w:b/>
                <w:bCs/>
                <w:color w:val="FFFFFF"/>
                <w:sz w:val="21"/>
                <w:szCs w:val="21"/>
              </w:rPr>
            </w:pPr>
            <w:r w:rsidRPr="004C1D16">
              <w:rPr>
                <w:rFonts w:ascii="Arial Narrow" w:hAnsi="Arial Narrow"/>
                <w:b/>
                <w:bCs/>
                <w:color w:val="FFFFFF"/>
                <w:sz w:val="21"/>
                <w:szCs w:val="21"/>
              </w:rPr>
              <w:t>Non alimentare</w:t>
            </w:r>
          </w:p>
        </w:tc>
        <w:tc>
          <w:tcPr>
            <w:tcW w:w="1055" w:type="dxa"/>
            <w:shd w:val="clear" w:color="000000" w:fill="003366"/>
            <w:noWrap/>
            <w:vAlign w:val="center"/>
            <w:hideMark/>
          </w:tcPr>
          <w:p w14:paraId="58505EAE" w14:textId="3C55F0DE" w:rsidR="00C70D65" w:rsidRPr="004C1D16" w:rsidRDefault="00C70D65">
            <w:pPr>
              <w:spacing w:before="40" w:after="20"/>
              <w:contextualSpacing/>
              <w:jc w:val="right"/>
              <w:rPr>
                <w:rFonts w:ascii="Arial Narrow" w:hAnsi="Arial Narrow"/>
                <w:b/>
                <w:bCs/>
                <w:color w:val="FFFFFF" w:themeColor="background1"/>
                <w:sz w:val="21"/>
                <w:szCs w:val="21"/>
              </w:rPr>
            </w:pPr>
            <w:r w:rsidRPr="004C1D16">
              <w:rPr>
                <w:rFonts w:ascii="Arial Narrow" w:hAnsi="Arial Narrow"/>
                <w:b/>
                <w:bCs/>
                <w:color w:val="FFFFFF"/>
                <w:sz w:val="21"/>
                <w:szCs w:val="21"/>
              </w:rPr>
              <w:t>2.095,58</w:t>
            </w:r>
          </w:p>
        </w:tc>
        <w:tc>
          <w:tcPr>
            <w:tcW w:w="1056" w:type="dxa"/>
            <w:shd w:val="clear" w:color="000000" w:fill="003366"/>
            <w:noWrap/>
            <w:vAlign w:val="center"/>
            <w:hideMark/>
          </w:tcPr>
          <w:p w14:paraId="1E4D215D" w14:textId="338833E5" w:rsidR="00C70D65" w:rsidRPr="004C1D16" w:rsidRDefault="00C70D65">
            <w:pPr>
              <w:spacing w:before="40" w:after="20"/>
              <w:contextualSpacing/>
              <w:jc w:val="center"/>
              <w:rPr>
                <w:rFonts w:ascii="Arial Narrow" w:hAnsi="Arial Narrow"/>
                <w:b/>
                <w:bCs/>
                <w:color w:val="FFFFFF" w:themeColor="background1"/>
                <w:sz w:val="21"/>
                <w:szCs w:val="21"/>
              </w:rPr>
            </w:pPr>
            <w:r w:rsidRPr="004C1D16">
              <w:rPr>
                <w:rFonts w:ascii="Arial Narrow" w:hAnsi="Arial Narrow"/>
                <w:b/>
                <w:bCs/>
                <w:color w:val="FFFFFF"/>
                <w:sz w:val="21"/>
                <w:szCs w:val="21"/>
              </w:rPr>
              <w:t>0,5</w:t>
            </w:r>
          </w:p>
        </w:tc>
        <w:tc>
          <w:tcPr>
            <w:tcW w:w="1055" w:type="dxa"/>
            <w:shd w:val="clear" w:color="000000" w:fill="003366"/>
            <w:noWrap/>
            <w:vAlign w:val="center"/>
            <w:hideMark/>
          </w:tcPr>
          <w:p w14:paraId="1005B2B2" w14:textId="4E77EF3A" w:rsidR="00C70D65" w:rsidRPr="004C1D16" w:rsidRDefault="002117CF">
            <w:pPr>
              <w:spacing w:before="40" w:after="20"/>
              <w:contextualSpacing/>
              <w:jc w:val="right"/>
              <w:rPr>
                <w:rFonts w:ascii="Arial Narrow" w:hAnsi="Arial Narrow"/>
                <w:b/>
                <w:bCs/>
                <w:color w:val="FFFFFF"/>
                <w:sz w:val="21"/>
                <w:szCs w:val="21"/>
              </w:rPr>
            </w:pPr>
            <w:r w:rsidRPr="004C1D16">
              <w:rPr>
                <w:rFonts w:ascii="Arial Narrow" w:hAnsi="Arial Narrow"/>
                <w:b/>
                <w:bCs/>
                <w:color w:val="FFFFFF"/>
                <w:sz w:val="21"/>
                <w:szCs w:val="21"/>
              </w:rPr>
              <w:t>1.860</w:t>
            </w:r>
            <w:r w:rsidR="00C70D65" w:rsidRPr="004C1D16">
              <w:rPr>
                <w:rFonts w:ascii="Arial Narrow" w:hAnsi="Arial Narrow"/>
                <w:b/>
                <w:bCs/>
                <w:color w:val="FFFFFF"/>
                <w:sz w:val="21"/>
                <w:szCs w:val="21"/>
              </w:rPr>
              <w:t>,</w:t>
            </w:r>
            <w:r w:rsidRPr="004C1D16">
              <w:rPr>
                <w:rFonts w:ascii="Arial Narrow" w:hAnsi="Arial Narrow"/>
                <w:b/>
                <w:bCs/>
                <w:color w:val="FFFFFF"/>
                <w:sz w:val="21"/>
                <w:szCs w:val="21"/>
              </w:rPr>
              <w:t>68</w:t>
            </w:r>
          </w:p>
        </w:tc>
        <w:tc>
          <w:tcPr>
            <w:tcW w:w="1056" w:type="dxa"/>
            <w:shd w:val="clear" w:color="000000" w:fill="003366"/>
            <w:noWrap/>
            <w:vAlign w:val="center"/>
            <w:hideMark/>
          </w:tcPr>
          <w:p w14:paraId="45A51C33" w14:textId="04D8F3F5" w:rsidR="00C70D65" w:rsidRPr="004C1D16" w:rsidRDefault="00C70D65">
            <w:pPr>
              <w:spacing w:before="40" w:after="20"/>
              <w:contextualSpacing/>
              <w:jc w:val="center"/>
              <w:rPr>
                <w:rFonts w:ascii="Arial Narrow" w:hAnsi="Arial Narrow"/>
                <w:b/>
                <w:bCs/>
                <w:color w:val="FFFFFF"/>
                <w:sz w:val="21"/>
                <w:szCs w:val="21"/>
              </w:rPr>
            </w:pPr>
            <w:r w:rsidRPr="004C1D16">
              <w:rPr>
                <w:rFonts w:ascii="Arial Narrow" w:hAnsi="Arial Narrow"/>
                <w:b/>
                <w:bCs/>
                <w:color w:val="FFFFFF"/>
                <w:sz w:val="21"/>
                <w:szCs w:val="21"/>
              </w:rPr>
              <w:t>0,5</w:t>
            </w:r>
          </w:p>
        </w:tc>
        <w:tc>
          <w:tcPr>
            <w:tcW w:w="0" w:type="auto"/>
            <w:shd w:val="clear" w:color="000000" w:fill="003366"/>
            <w:noWrap/>
            <w:vAlign w:val="bottom"/>
          </w:tcPr>
          <w:p w14:paraId="6A379995" w14:textId="558C7BB7" w:rsidR="00C70D65" w:rsidRPr="004C1D16" w:rsidRDefault="000F33C6">
            <w:pPr>
              <w:spacing w:before="40" w:after="20"/>
              <w:contextualSpacing/>
              <w:jc w:val="center"/>
              <w:rPr>
                <w:rFonts w:ascii="Arial Narrow" w:hAnsi="Arial Narrow"/>
                <w:b/>
                <w:bCs/>
                <w:color w:val="FFFFFF"/>
                <w:sz w:val="21"/>
                <w:szCs w:val="21"/>
              </w:rPr>
            </w:pPr>
            <w:r w:rsidRPr="004C1D16">
              <w:rPr>
                <w:rFonts w:ascii="Arial Narrow" w:hAnsi="Arial Narrow"/>
                <w:b/>
                <w:bCs/>
                <w:color w:val="FFFFFF"/>
                <w:sz w:val="21"/>
                <w:szCs w:val="21"/>
              </w:rPr>
              <w:t>*</w:t>
            </w:r>
          </w:p>
        </w:tc>
      </w:tr>
      <w:tr w:rsidR="00C70D65" w:rsidRPr="004C1D16" w14:paraId="469769BC" w14:textId="77777777" w:rsidTr="00814A59">
        <w:trPr>
          <w:trHeight w:val="227"/>
        </w:trPr>
        <w:tc>
          <w:tcPr>
            <w:tcW w:w="0" w:type="auto"/>
            <w:shd w:val="clear" w:color="auto" w:fill="auto"/>
            <w:vAlign w:val="center"/>
            <w:hideMark/>
          </w:tcPr>
          <w:p w14:paraId="48D60F2B"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Bevande alcoliche e tabacchi</w:t>
            </w:r>
          </w:p>
        </w:tc>
        <w:tc>
          <w:tcPr>
            <w:tcW w:w="1055" w:type="dxa"/>
            <w:shd w:val="clear" w:color="000000" w:fill="E6E6E6"/>
            <w:vAlign w:val="center"/>
            <w:hideMark/>
          </w:tcPr>
          <w:p w14:paraId="5710D217" w14:textId="0BE4B1AF"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46,10</w:t>
            </w:r>
          </w:p>
        </w:tc>
        <w:tc>
          <w:tcPr>
            <w:tcW w:w="1056" w:type="dxa"/>
            <w:shd w:val="clear" w:color="auto" w:fill="auto"/>
            <w:vAlign w:val="center"/>
            <w:hideMark/>
          </w:tcPr>
          <w:p w14:paraId="3B58A4A8" w14:textId="7EDE70E3"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1,4</w:t>
            </w:r>
          </w:p>
        </w:tc>
        <w:tc>
          <w:tcPr>
            <w:tcW w:w="1055" w:type="dxa"/>
            <w:shd w:val="clear" w:color="000000" w:fill="E6E6E6"/>
            <w:vAlign w:val="center"/>
            <w:hideMark/>
          </w:tcPr>
          <w:p w14:paraId="52B194E0" w14:textId="1CE68811"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42</w:t>
            </w:r>
            <w:r w:rsidR="00C70D65" w:rsidRPr="004C1D16">
              <w:rPr>
                <w:rFonts w:ascii="Arial Narrow" w:hAnsi="Arial Narrow"/>
                <w:color w:val="1F497D"/>
                <w:sz w:val="21"/>
                <w:szCs w:val="21"/>
              </w:rPr>
              <w:t>,</w:t>
            </w:r>
            <w:r w:rsidRPr="004C1D16">
              <w:rPr>
                <w:rFonts w:ascii="Arial Narrow" w:hAnsi="Arial Narrow"/>
                <w:color w:val="1F497D"/>
                <w:sz w:val="21"/>
                <w:szCs w:val="21"/>
              </w:rPr>
              <w:t>54</w:t>
            </w:r>
          </w:p>
        </w:tc>
        <w:tc>
          <w:tcPr>
            <w:tcW w:w="1056" w:type="dxa"/>
            <w:shd w:val="clear" w:color="auto" w:fill="auto"/>
            <w:vAlign w:val="center"/>
            <w:hideMark/>
          </w:tcPr>
          <w:p w14:paraId="01A93909" w14:textId="70896727"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,3</w:t>
            </w:r>
          </w:p>
        </w:tc>
        <w:tc>
          <w:tcPr>
            <w:tcW w:w="0" w:type="auto"/>
            <w:shd w:val="clear" w:color="auto" w:fill="auto"/>
            <w:vAlign w:val="bottom"/>
          </w:tcPr>
          <w:p w14:paraId="53FDB1B6" w14:textId="097310F9"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0A408485" w14:textId="77777777" w:rsidTr="00814A59">
        <w:trPr>
          <w:trHeight w:val="227"/>
        </w:trPr>
        <w:tc>
          <w:tcPr>
            <w:tcW w:w="0" w:type="auto"/>
            <w:shd w:val="clear" w:color="auto" w:fill="auto"/>
            <w:vAlign w:val="center"/>
            <w:hideMark/>
          </w:tcPr>
          <w:p w14:paraId="39C035B4"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Abbigliamento e calzature</w:t>
            </w:r>
          </w:p>
        </w:tc>
        <w:tc>
          <w:tcPr>
            <w:tcW w:w="1055" w:type="dxa"/>
            <w:shd w:val="clear" w:color="000000" w:fill="E6E6E6"/>
            <w:vAlign w:val="center"/>
            <w:hideMark/>
          </w:tcPr>
          <w:p w14:paraId="1DD8FD27" w14:textId="5A3760BB"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114,65</w:t>
            </w:r>
          </w:p>
        </w:tc>
        <w:tc>
          <w:tcPr>
            <w:tcW w:w="1056" w:type="dxa"/>
            <w:shd w:val="clear" w:color="auto" w:fill="auto"/>
            <w:vAlign w:val="center"/>
            <w:hideMark/>
          </w:tcPr>
          <w:p w14:paraId="287494F1" w14:textId="629473CC"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1,6</w:t>
            </w:r>
          </w:p>
        </w:tc>
        <w:tc>
          <w:tcPr>
            <w:tcW w:w="1055" w:type="dxa"/>
            <w:shd w:val="clear" w:color="000000" w:fill="E6E6E6"/>
            <w:vAlign w:val="center"/>
            <w:hideMark/>
          </w:tcPr>
          <w:p w14:paraId="1B8297E0" w14:textId="52F43367"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87</w:t>
            </w:r>
            <w:r w:rsidR="00C70D65" w:rsidRPr="004C1D16">
              <w:rPr>
                <w:rFonts w:ascii="Arial Narrow" w:hAnsi="Arial Narrow"/>
                <w:color w:val="1F497D"/>
                <w:sz w:val="21"/>
                <w:szCs w:val="21"/>
              </w:rPr>
              <w:t>,</w:t>
            </w:r>
            <w:r w:rsidRPr="004C1D16">
              <w:rPr>
                <w:rFonts w:ascii="Arial Narrow" w:hAnsi="Arial Narrow"/>
                <w:color w:val="1F497D"/>
                <w:sz w:val="21"/>
                <w:szCs w:val="21"/>
              </w:rPr>
              <w:t>98</w:t>
            </w:r>
          </w:p>
        </w:tc>
        <w:tc>
          <w:tcPr>
            <w:tcW w:w="1056" w:type="dxa"/>
            <w:shd w:val="clear" w:color="auto" w:fill="auto"/>
            <w:vAlign w:val="center"/>
            <w:hideMark/>
          </w:tcPr>
          <w:p w14:paraId="7C093A4C" w14:textId="615557AD"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,7</w:t>
            </w:r>
          </w:p>
        </w:tc>
        <w:tc>
          <w:tcPr>
            <w:tcW w:w="0" w:type="auto"/>
            <w:shd w:val="clear" w:color="auto" w:fill="auto"/>
            <w:vAlign w:val="bottom"/>
          </w:tcPr>
          <w:p w14:paraId="090E7238" w14:textId="1E5ECCBE"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327EF2F1" w14:textId="77777777" w:rsidTr="00814A59">
        <w:trPr>
          <w:trHeight w:val="227"/>
        </w:trPr>
        <w:tc>
          <w:tcPr>
            <w:tcW w:w="0" w:type="auto"/>
            <w:shd w:val="clear" w:color="auto" w:fill="auto"/>
            <w:vAlign w:val="center"/>
            <w:hideMark/>
          </w:tcPr>
          <w:p w14:paraId="6828A24E"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Abitazione, acqua, elettricità, gas e altri combustibili, di cui:</w:t>
            </w:r>
          </w:p>
        </w:tc>
        <w:tc>
          <w:tcPr>
            <w:tcW w:w="1055" w:type="dxa"/>
            <w:shd w:val="clear" w:color="000000" w:fill="E6E6E6"/>
            <w:vAlign w:val="center"/>
            <w:hideMark/>
          </w:tcPr>
          <w:p w14:paraId="79E768D1" w14:textId="3A56AE8B"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896,05</w:t>
            </w:r>
          </w:p>
        </w:tc>
        <w:tc>
          <w:tcPr>
            <w:tcW w:w="1056" w:type="dxa"/>
            <w:shd w:val="clear" w:color="auto" w:fill="auto"/>
            <w:vAlign w:val="center"/>
            <w:hideMark/>
          </w:tcPr>
          <w:p w14:paraId="3DAD1C00" w14:textId="1213A6EC"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0,6</w:t>
            </w:r>
          </w:p>
        </w:tc>
        <w:tc>
          <w:tcPr>
            <w:tcW w:w="1055" w:type="dxa"/>
            <w:shd w:val="clear" w:color="000000" w:fill="E6E6E6"/>
            <w:vAlign w:val="center"/>
            <w:hideMark/>
          </w:tcPr>
          <w:p w14:paraId="3518126E" w14:textId="052545D6"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893</w:t>
            </w:r>
            <w:r w:rsidR="00C70D65" w:rsidRPr="004C1D16">
              <w:rPr>
                <w:rFonts w:ascii="Arial Narrow" w:hAnsi="Arial Narrow"/>
                <w:color w:val="1F497D"/>
                <w:sz w:val="21"/>
                <w:szCs w:val="21"/>
              </w:rPr>
              <w:t>,</w:t>
            </w:r>
            <w:r w:rsidRPr="004C1D16">
              <w:rPr>
                <w:rFonts w:ascii="Arial Narrow" w:hAnsi="Arial Narrow"/>
                <w:color w:val="1F497D"/>
                <w:sz w:val="21"/>
                <w:szCs w:val="21"/>
              </w:rPr>
              <w:t>21</w:t>
            </w:r>
          </w:p>
        </w:tc>
        <w:tc>
          <w:tcPr>
            <w:tcW w:w="1056" w:type="dxa"/>
            <w:shd w:val="clear" w:color="auto" w:fill="auto"/>
            <w:vAlign w:val="center"/>
            <w:hideMark/>
          </w:tcPr>
          <w:p w14:paraId="7787C50C" w14:textId="11DFF777"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w:t>
            </w:r>
            <w:r w:rsidR="002117CF" w:rsidRPr="004C1D16">
              <w:rPr>
                <w:rFonts w:ascii="Arial Narrow" w:hAnsi="Arial Narrow"/>
                <w:color w:val="1F497D"/>
                <w:sz w:val="21"/>
                <w:szCs w:val="21"/>
              </w:rPr>
              <w:t>,5</w:t>
            </w:r>
          </w:p>
        </w:tc>
        <w:tc>
          <w:tcPr>
            <w:tcW w:w="0" w:type="auto"/>
            <w:shd w:val="clear" w:color="auto" w:fill="auto"/>
            <w:vAlign w:val="bottom"/>
          </w:tcPr>
          <w:p w14:paraId="2E9F5B51" w14:textId="5005858F" w:rsidR="00C70D65" w:rsidRPr="004C1D16" w:rsidRDefault="00C70D65">
            <w:pPr>
              <w:spacing w:before="40" w:after="20"/>
              <w:contextualSpacing/>
              <w:jc w:val="center"/>
              <w:rPr>
                <w:rFonts w:ascii="Arial Narrow" w:hAnsi="Arial Narrow"/>
                <w:color w:val="1F497D"/>
                <w:sz w:val="21"/>
                <w:szCs w:val="21"/>
              </w:rPr>
            </w:pPr>
          </w:p>
        </w:tc>
      </w:tr>
      <w:tr w:rsidR="00C70D65" w:rsidRPr="004C1D16" w14:paraId="1E72DB0D" w14:textId="77777777" w:rsidTr="00814A59">
        <w:trPr>
          <w:trHeight w:val="227"/>
        </w:trPr>
        <w:tc>
          <w:tcPr>
            <w:tcW w:w="0" w:type="auto"/>
            <w:shd w:val="clear" w:color="auto" w:fill="auto"/>
            <w:vAlign w:val="center"/>
            <w:hideMark/>
          </w:tcPr>
          <w:p w14:paraId="4B3ACA16" w14:textId="77777777" w:rsidR="00C70D65" w:rsidRPr="004C1D16" w:rsidRDefault="00C70D65" w:rsidP="004C1D16">
            <w:pPr>
              <w:spacing w:before="40" w:after="20"/>
              <w:ind w:firstLineChars="300" w:firstLine="630"/>
              <w:contextualSpacing/>
              <w:rPr>
                <w:rFonts w:ascii="Arial Narrow" w:hAnsi="Arial Narrow"/>
                <w:i/>
                <w:iCs/>
                <w:color w:val="1F497D"/>
                <w:sz w:val="21"/>
                <w:szCs w:val="21"/>
              </w:rPr>
            </w:pPr>
            <w:r w:rsidRPr="004C1D16">
              <w:rPr>
                <w:rFonts w:ascii="Arial Narrow" w:hAnsi="Arial Narrow"/>
                <w:i/>
                <w:iCs/>
                <w:color w:val="1F497D"/>
                <w:sz w:val="21"/>
                <w:szCs w:val="21"/>
              </w:rPr>
              <w:t>Manutenzioni straordinarie</w:t>
            </w:r>
          </w:p>
        </w:tc>
        <w:tc>
          <w:tcPr>
            <w:tcW w:w="1055" w:type="dxa"/>
            <w:shd w:val="clear" w:color="000000" w:fill="E6E6E6"/>
            <w:vAlign w:val="center"/>
            <w:hideMark/>
          </w:tcPr>
          <w:p w14:paraId="29679339" w14:textId="2A88323D" w:rsidR="00C70D65" w:rsidRPr="004C1D16" w:rsidRDefault="00C70D65">
            <w:pPr>
              <w:spacing w:before="40" w:after="20"/>
              <w:contextualSpacing/>
              <w:jc w:val="right"/>
              <w:rPr>
                <w:rFonts w:ascii="Arial Narrow" w:hAnsi="Arial Narrow"/>
                <w:i/>
                <w:color w:val="1F497D"/>
                <w:sz w:val="21"/>
                <w:szCs w:val="21"/>
              </w:rPr>
            </w:pPr>
            <w:r w:rsidRPr="004C1D16">
              <w:rPr>
                <w:rFonts w:ascii="Arial Narrow" w:hAnsi="Arial Narrow"/>
                <w:i/>
                <w:color w:val="1F497D"/>
                <w:sz w:val="21"/>
                <w:szCs w:val="21"/>
              </w:rPr>
              <w:t>26,51</w:t>
            </w:r>
          </w:p>
        </w:tc>
        <w:tc>
          <w:tcPr>
            <w:tcW w:w="1056" w:type="dxa"/>
            <w:shd w:val="clear" w:color="auto" w:fill="auto"/>
            <w:vAlign w:val="center"/>
            <w:hideMark/>
          </w:tcPr>
          <w:p w14:paraId="0587B466" w14:textId="752FDE53" w:rsidR="00C70D65" w:rsidRPr="004C1D16" w:rsidRDefault="00C70D65">
            <w:pPr>
              <w:spacing w:before="40" w:after="20"/>
              <w:contextualSpacing/>
              <w:jc w:val="center"/>
              <w:rPr>
                <w:rFonts w:ascii="Arial Narrow" w:hAnsi="Arial Narrow"/>
                <w:i/>
                <w:iCs/>
                <w:color w:val="1F497D"/>
                <w:sz w:val="21"/>
                <w:szCs w:val="21"/>
              </w:rPr>
            </w:pPr>
            <w:r w:rsidRPr="004C1D16">
              <w:rPr>
                <w:rFonts w:ascii="Arial Narrow" w:hAnsi="Arial Narrow"/>
                <w:i/>
                <w:color w:val="1F497D"/>
                <w:sz w:val="21"/>
                <w:szCs w:val="21"/>
              </w:rPr>
              <w:t>6,9</w:t>
            </w:r>
          </w:p>
        </w:tc>
        <w:tc>
          <w:tcPr>
            <w:tcW w:w="1055" w:type="dxa"/>
            <w:shd w:val="clear" w:color="000000" w:fill="E6E6E6"/>
            <w:vAlign w:val="center"/>
            <w:hideMark/>
          </w:tcPr>
          <w:p w14:paraId="4220537E" w14:textId="7D1B31F8"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2</w:t>
            </w:r>
            <w:r w:rsidR="002117CF" w:rsidRPr="004C1D16">
              <w:rPr>
                <w:rFonts w:ascii="Arial Narrow" w:hAnsi="Arial Narrow"/>
                <w:color w:val="1F497D"/>
                <w:sz w:val="21"/>
                <w:szCs w:val="21"/>
              </w:rPr>
              <w:t>4</w:t>
            </w:r>
            <w:r w:rsidRPr="004C1D16">
              <w:rPr>
                <w:rFonts w:ascii="Arial Narrow" w:hAnsi="Arial Narrow"/>
                <w:color w:val="1F497D"/>
                <w:sz w:val="21"/>
                <w:szCs w:val="21"/>
              </w:rPr>
              <w:t>,</w:t>
            </w:r>
            <w:r w:rsidR="002117CF" w:rsidRPr="004C1D16">
              <w:rPr>
                <w:rFonts w:ascii="Arial Narrow" w:hAnsi="Arial Narrow"/>
                <w:color w:val="1F497D"/>
                <w:sz w:val="21"/>
                <w:szCs w:val="21"/>
              </w:rPr>
              <w:t>74</w:t>
            </w:r>
          </w:p>
        </w:tc>
        <w:tc>
          <w:tcPr>
            <w:tcW w:w="1056" w:type="dxa"/>
            <w:shd w:val="clear" w:color="auto" w:fill="auto"/>
            <w:vAlign w:val="center"/>
            <w:hideMark/>
          </w:tcPr>
          <w:p w14:paraId="6D2FE994" w14:textId="2741B856"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6</w:t>
            </w:r>
            <w:r w:rsidR="002117CF" w:rsidRPr="004C1D16">
              <w:rPr>
                <w:rFonts w:ascii="Arial Narrow" w:hAnsi="Arial Narrow"/>
                <w:color w:val="1F497D"/>
                <w:sz w:val="21"/>
                <w:szCs w:val="21"/>
              </w:rPr>
              <w:t>,8</w:t>
            </w:r>
          </w:p>
        </w:tc>
        <w:tc>
          <w:tcPr>
            <w:tcW w:w="0" w:type="auto"/>
            <w:shd w:val="clear" w:color="auto" w:fill="auto"/>
            <w:vAlign w:val="bottom"/>
          </w:tcPr>
          <w:p w14:paraId="6220C6AE" w14:textId="7EE1A167" w:rsidR="00C70D65" w:rsidRPr="004C1D16" w:rsidRDefault="00C70D65">
            <w:pPr>
              <w:spacing w:before="40" w:after="20"/>
              <w:contextualSpacing/>
              <w:jc w:val="center"/>
              <w:rPr>
                <w:rFonts w:ascii="Arial Narrow" w:hAnsi="Arial Narrow"/>
                <w:i/>
                <w:color w:val="1F497D"/>
                <w:sz w:val="21"/>
                <w:szCs w:val="21"/>
              </w:rPr>
            </w:pPr>
          </w:p>
        </w:tc>
      </w:tr>
      <w:tr w:rsidR="00C70D65" w:rsidRPr="004C1D16" w14:paraId="66752878" w14:textId="77777777" w:rsidTr="00814A59">
        <w:trPr>
          <w:trHeight w:val="227"/>
        </w:trPr>
        <w:tc>
          <w:tcPr>
            <w:tcW w:w="0" w:type="auto"/>
            <w:shd w:val="clear" w:color="auto" w:fill="auto"/>
            <w:vAlign w:val="center"/>
            <w:hideMark/>
          </w:tcPr>
          <w:p w14:paraId="374A5365" w14:textId="77777777" w:rsidR="00C70D65" w:rsidRPr="004C1D16" w:rsidRDefault="00C70D65" w:rsidP="004C1D16">
            <w:pPr>
              <w:spacing w:before="40" w:after="20"/>
              <w:ind w:firstLineChars="300" w:firstLine="630"/>
              <w:contextualSpacing/>
              <w:rPr>
                <w:rFonts w:ascii="Arial Narrow" w:hAnsi="Arial Narrow"/>
                <w:i/>
                <w:iCs/>
                <w:color w:val="1F497D"/>
                <w:sz w:val="21"/>
                <w:szCs w:val="21"/>
              </w:rPr>
            </w:pPr>
            <w:r w:rsidRPr="004C1D16">
              <w:rPr>
                <w:rFonts w:ascii="Arial Narrow" w:hAnsi="Arial Narrow"/>
                <w:i/>
                <w:iCs/>
                <w:color w:val="1F497D"/>
                <w:sz w:val="21"/>
                <w:szCs w:val="21"/>
              </w:rPr>
              <w:t>Affitti figurativi</w:t>
            </w:r>
          </w:p>
        </w:tc>
        <w:tc>
          <w:tcPr>
            <w:tcW w:w="1055" w:type="dxa"/>
            <w:shd w:val="clear" w:color="000000" w:fill="E6E6E6"/>
            <w:vAlign w:val="center"/>
            <w:hideMark/>
          </w:tcPr>
          <w:p w14:paraId="396E2315" w14:textId="349EBC60" w:rsidR="00C70D65" w:rsidRPr="004C1D16" w:rsidRDefault="00C70D65">
            <w:pPr>
              <w:spacing w:before="40" w:after="20"/>
              <w:contextualSpacing/>
              <w:jc w:val="right"/>
              <w:rPr>
                <w:rFonts w:ascii="Arial Narrow" w:hAnsi="Arial Narrow"/>
                <w:i/>
                <w:color w:val="1F497D"/>
                <w:sz w:val="21"/>
                <w:szCs w:val="21"/>
              </w:rPr>
            </w:pPr>
            <w:r w:rsidRPr="004C1D16">
              <w:rPr>
                <w:rFonts w:ascii="Arial Narrow" w:hAnsi="Arial Narrow"/>
                <w:i/>
                <w:color w:val="1F497D"/>
                <w:sz w:val="21"/>
                <w:szCs w:val="21"/>
              </w:rPr>
              <w:t>577,89</w:t>
            </w:r>
          </w:p>
        </w:tc>
        <w:tc>
          <w:tcPr>
            <w:tcW w:w="1056" w:type="dxa"/>
            <w:shd w:val="clear" w:color="auto" w:fill="auto"/>
            <w:vAlign w:val="center"/>
            <w:hideMark/>
          </w:tcPr>
          <w:p w14:paraId="5144AADA" w14:textId="4511FE43" w:rsidR="00C70D65" w:rsidRPr="004C1D16" w:rsidRDefault="00C70D65">
            <w:pPr>
              <w:spacing w:before="40" w:after="20"/>
              <w:contextualSpacing/>
              <w:jc w:val="center"/>
              <w:rPr>
                <w:rFonts w:ascii="Arial Narrow" w:hAnsi="Arial Narrow"/>
                <w:i/>
                <w:iCs/>
                <w:color w:val="1F497D"/>
                <w:sz w:val="21"/>
                <w:szCs w:val="21"/>
              </w:rPr>
            </w:pPr>
            <w:r w:rsidRPr="004C1D16">
              <w:rPr>
                <w:rFonts w:ascii="Arial Narrow" w:hAnsi="Arial Narrow"/>
                <w:i/>
                <w:color w:val="1F497D"/>
                <w:sz w:val="21"/>
                <w:szCs w:val="21"/>
              </w:rPr>
              <w:t>0,8</w:t>
            </w:r>
          </w:p>
        </w:tc>
        <w:tc>
          <w:tcPr>
            <w:tcW w:w="1055" w:type="dxa"/>
            <w:shd w:val="clear" w:color="000000" w:fill="E6E6E6"/>
            <w:vAlign w:val="center"/>
            <w:hideMark/>
          </w:tcPr>
          <w:p w14:paraId="525B5F4F" w14:textId="78E0A795"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58</w:t>
            </w:r>
            <w:r w:rsidR="00C70D65" w:rsidRPr="004C1D16">
              <w:rPr>
                <w:rFonts w:ascii="Arial Narrow" w:hAnsi="Arial Narrow"/>
                <w:color w:val="1F497D"/>
                <w:sz w:val="21"/>
                <w:szCs w:val="21"/>
              </w:rPr>
              <w:t>7,</w:t>
            </w:r>
            <w:r w:rsidRPr="004C1D16">
              <w:rPr>
                <w:rFonts w:ascii="Arial Narrow" w:hAnsi="Arial Narrow"/>
                <w:color w:val="1F497D"/>
                <w:sz w:val="21"/>
                <w:szCs w:val="21"/>
              </w:rPr>
              <w:t>09</w:t>
            </w:r>
          </w:p>
        </w:tc>
        <w:tc>
          <w:tcPr>
            <w:tcW w:w="1056" w:type="dxa"/>
            <w:shd w:val="clear" w:color="auto" w:fill="auto"/>
            <w:vAlign w:val="center"/>
            <w:hideMark/>
          </w:tcPr>
          <w:p w14:paraId="16644C0B" w14:textId="60516D32"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w:t>
            </w:r>
            <w:r w:rsidR="002117CF" w:rsidRPr="004C1D16">
              <w:rPr>
                <w:rFonts w:ascii="Arial Narrow" w:hAnsi="Arial Narrow"/>
                <w:color w:val="1F497D"/>
                <w:sz w:val="21"/>
                <w:szCs w:val="21"/>
              </w:rPr>
              <w:t>,7</w:t>
            </w:r>
          </w:p>
        </w:tc>
        <w:tc>
          <w:tcPr>
            <w:tcW w:w="0" w:type="auto"/>
            <w:shd w:val="clear" w:color="auto" w:fill="auto"/>
            <w:vAlign w:val="bottom"/>
          </w:tcPr>
          <w:p w14:paraId="20C5FC84" w14:textId="30822147" w:rsidR="00C70D65" w:rsidRPr="004C1D16" w:rsidRDefault="00C70D65">
            <w:pPr>
              <w:spacing w:before="40" w:after="20"/>
              <w:contextualSpacing/>
              <w:jc w:val="center"/>
              <w:rPr>
                <w:rFonts w:ascii="Arial Narrow" w:hAnsi="Arial Narrow"/>
                <w:i/>
                <w:color w:val="1F497D"/>
                <w:sz w:val="21"/>
                <w:szCs w:val="21"/>
              </w:rPr>
            </w:pPr>
          </w:p>
        </w:tc>
      </w:tr>
      <w:tr w:rsidR="00C70D65" w:rsidRPr="004C1D16" w14:paraId="01D59E86" w14:textId="77777777" w:rsidTr="00814A59">
        <w:trPr>
          <w:trHeight w:val="227"/>
        </w:trPr>
        <w:tc>
          <w:tcPr>
            <w:tcW w:w="0" w:type="auto"/>
            <w:shd w:val="clear" w:color="auto" w:fill="auto"/>
            <w:vAlign w:val="center"/>
            <w:hideMark/>
          </w:tcPr>
          <w:p w14:paraId="379E7F9A"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Mobili, articoli e servizi per la casa</w:t>
            </w:r>
          </w:p>
        </w:tc>
        <w:tc>
          <w:tcPr>
            <w:tcW w:w="1055" w:type="dxa"/>
            <w:shd w:val="clear" w:color="000000" w:fill="E6E6E6"/>
            <w:vAlign w:val="center"/>
            <w:hideMark/>
          </w:tcPr>
          <w:p w14:paraId="56920206" w14:textId="6063FB8B"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109,97</w:t>
            </w:r>
          </w:p>
        </w:tc>
        <w:tc>
          <w:tcPr>
            <w:tcW w:w="1056" w:type="dxa"/>
            <w:shd w:val="clear" w:color="auto" w:fill="auto"/>
            <w:vAlign w:val="center"/>
            <w:hideMark/>
          </w:tcPr>
          <w:p w14:paraId="3A647A2B" w14:textId="3A29DBB7"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2,1</w:t>
            </w:r>
          </w:p>
        </w:tc>
        <w:tc>
          <w:tcPr>
            <w:tcW w:w="1055" w:type="dxa"/>
            <w:shd w:val="clear" w:color="000000" w:fill="E6E6E6"/>
            <w:vAlign w:val="center"/>
            <w:hideMark/>
          </w:tcPr>
          <w:p w14:paraId="3BAFA33B" w14:textId="675E9B4C"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10</w:t>
            </w:r>
            <w:r w:rsidR="002117CF" w:rsidRPr="004C1D16">
              <w:rPr>
                <w:rFonts w:ascii="Arial Narrow" w:hAnsi="Arial Narrow"/>
                <w:color w:val="1F497D"/>
                <w:sz w:val="21"/>
                <w:szCs w:val="21"/>
              </w:rPr>
              <w:t>3</w:t>
            </w:r>
            <w:r w:rsidRPr="004C1D16">
              <w:rPr>
                <w:rFonts w:ascii="Arial Narrow" w:hAnsi="Arial Narrow"/>
                <w:color w:val="1F497D"/>
                <w:sz w:val="21"/>
                <w:szCs w:val="21"/>
              </w:rPr>
              <w:t>,</w:t>
            </w:r>
            <w:r w:rsidR="002117CF" w:rsidRPr="004C1D16">
              <w:rPr>
                <w:rFonts w:ascii="Arial Narrow" w:hAnsi="Arial Narrow"/>
                <w:color w:val="1F497D"/>
                <w:sz w:val="21"/>
                <w:szCs w:val="21"/>
              </w:rPr>
              <w:t>66</w:t>
            </w:r>
          </w:p>
        </w:tc>
        <w:tc>
          <w:tcPr>
            <w:tcW w:w="1056" w:type="dxa"/>
            <w:shd w:val="clear" w:color="auto" w:fill="auto"/>
            <w:vAlign w:val="center"/>
            <w:hideMark/>
          </w:tcPr>
          <w:p w14:paraId="5C15DF94" w14:textId="06786A15"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2</w:t>
            </w:r>
            <w:r w:rsidR="002117CF" w:rsidRPr="004C1D16">
              <w:rPr>
                <w:rFonts w:ascii="Arial Narrow" w:hAnsi="Arial Narrow"/>
                <w:color w:val="1F497D"/>
                <w:sz w:val="21"/>
                <w:szCs w:val="21"/>
              </w:rPr>
              <w:t>,0</w:t>
            </w:r>
          </w:p>
        </w:tc>
        <w:tc>
          <w:tcPr>
            <w:tcW w:w="0" w:type="auto"/>
            <w:shd w:val="clear" w:color="auto" w:fill="auto"/>
            <w:vAlign w:val="bottom"/>
          </w:tcPr>
          <w:p w14:paraId="4E2F261A" w14:textId="35E155EA"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1F85EDFE" w14:textId="77777777" w:rsidTr="00814A59">
        <w:trPr>
          <w:trHeight w:val="227"/>
        </w:trPr>
        <w:tc>
          <w:tcPr>
            <w:tcW w:w="0" w:type="auto"/>
            <w:shd w:val="clear" w:color="auto" w:fill="auto"/>
            <w:vAlign w:val="center"/>
            <w:hideMark/>
          </w:tcPr>
          <w:p w14:paraId="7B2F1D71"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Servizi sanitari e spese per la salute</w:t>
            </w:r>
          </w:p>
        </w:tc>
        <w:tc>
          <w:tcPr>
            <w:tcW w:w="1055" w:type="dxa"/>
            <w:shd w:val="clear" w:color="000000" w:fill="E6E6E6"/>
            <w:vAlign w:val="center"/>
            <w:hideMark/>
          </w:tcPr>
          <w:p w14:paraId="5989830B" w14:textId="6A9BF198"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118,33</w:t>
            </w:r>
          </w:p>
        </w:tc>
        <w:tc>
          <w:tcPr>
            <w:tcW w:w="1056" w:type="dxa"/>
            <w:shd w:val="clear" w:color="auto" w:fill="auto"/>
            <w:vAlign w:val="center"/>
            <w:hideMark/>
          </w:tcPr>
          <w:p w14:paraId="0B752BAB" w14:textId="6AD586F9"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1,4</w:t>
            </w:r>
          </w:p>
        </w:tc>
        <w:tc>
          <w:tcPr>
            <w:tcW w:w="1055" w:type="dxa"/>
            <w:shd w:val="clear" w:color="000000" w:fill="E6E6E6"/>
            <w:vAlign w:val="center"/>
            <w:hideMark/>
          </w:tcPr>
          <w:p w14:paraId="2918FD77" w14:textId="03BF470C"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108</w:t>
            </w:r>
            <w:r w:rsidR="00C70D65" w:rsidRPr="004C1D16">
              <w:rPr>
                <w:rFonts w:ascii="Arial Narrow" w:hAnsi="Arial Narrow"/>
                <w:color w:val="1F497D"/>
                <w:sz w:val="21"/>
                <w:szCs w:val="21"/>
              </w:rPr>
              <w:t>,</w:t>
            </w:r>
            <w:r w:rsidRPr="004C1D16">
              <w:rPr>
                <w:rFonts w:ascii="Arial Narrow" w:hAnsi="Arial Narrow"/>
                <w:color w:val="1F497D"/>
                <w:sz w:val="21"/>
                <w:szCs w:val="21"/>
              </w:rPr>
              <w:t>10</w:t>
            </w:r>
          </w:p>
        </w:tc>
        <w:tc>
          <w:tcPr>
            <w:tcW w:w="1056" w:type="dxa"/>
            <w:shd w:val="clear" w:color="auto" w:fill="auto"/>
            <w:vAlign w:val="center"/>
            <w:hideMark/>
          </w:tcPr>
          <w:p w14:paraId="3EC07681" w14:textId="5BDB80B6"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,3</w:t>
            </w:r>
          </w:p>
        </w:tc>
        <w:tc>
          <w:tcPr>
            <w:tcW w:w="0" w:type="auto"/>
            <w:shd w:val="clear" w:color="auto" w:fill="auto"/>
            <w:vAlign w:val="bottom"/>
          </w:tcPr>
          <w:p w14:paraId="788EF625" w14:textId="20A9B106"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027480D8" w14:textId="77777777" w:rsidTr="00814A59">
        <w:trPr>
          <w:trHeight w:val="227"/>
        </w:trPr>
        <w:tc>
          <w:tcPr>
            <w:tcW w:w="0" w:type="auto"/>
            <w:shd w:val="clear" w:color="auto" w:fill="auto"/>
            <w:vAlign w:val="center"/>
            <w:hideMark/>
          </w:tcPr>
          <w:p w14:paraId="7007E92F"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Trasporti</w:t>
            </w:r>
          </w:p>
        </w:tc>
        <w:tc>
          <w:tcPr>
            <w:tcW w:w="1055" w:type="dxa"/>
            <w:shd w:val="clear" w:color="000000" w:fill="E6E6E6"/>
            <w:vAlign w:val="center"/>
            <w:hideMark/>
          </w:tcPr>
          <w:p w14:paraId="7A89ADF3" w14:textId="7237FE47"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288,39</w:t>
            </w:r>
          </w:p>
        </w:tc>
        <w:tc>
          <w:tcPr>
            <w:tcW w:w="1056" w:type="dxa"/>
            <w:shd w:val="clear" w:color="auto" w:fill="auto"/>
            <w:vAlign w:val="center"/>
            <w:hideMark/>
          </w:tcPr>
          <w:p w14:paraId="0EE3497A" w14:textId="7BDC48EE"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1,3</w:t>
            </w:r>
          </w:p>
        </w:tc>
        <w:tc>
          <w:tcPr>
            <w:tcW w:w="1055" w:type="dxa"/>
            <w:shd w:val="clear" w:color="000000" w:fill="E6E6E6"/>
            <w:vAlign w:val="center"/>
            <w:hideMark/>
          </w:tcPr>
          <w:p w14:paraId="40868D16" w14:textId="7D7BC277"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217</w:t>
            </w:r>
            <w:r w:rsidR="00C70D65" w:rsidRPr="004C1D16">
              <w:rPr>
                <w:rFonts w:ascii="Arial Narrow" w:hAnsi="Arial Narrow"/>
                <w:color w:val="1F497D"/>
                <w:sz w:val="21"/>
                <w:szCs w:val="21"/>
              </w:rPr>
              <w:t>,</w:t>
            </w:r>
            <w:r w:rsidRPr="004C1D16">
              <w:rPr>
                <w:rFonts w:ascii="Arial Narrow" w:hAnsi="Arial Narrow"/>
                <w:color w:val="1F497D"/>
                <w:sz w:val="21"/>
                <w:szCs w:val="21"/>
              </w:rPr>
              <w:t>45</w:t>
            </w:r>
          </w:p>
        </w:tc>
        <w:tc>
          <w:tcPr>
            <w:tcW w:w="1056" w:type="dxa"/>
            <w:shd w:val="clear" w:color="auto" w:fill="auto"/>
            <w:vAlign w:val="center"/>
            <w:hideMark/>
          </w:tcPr>
          <w:p w14:paraId="04DF4E93" w14:textId="1B6F9D95"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,4</w:t>
            </w:r>
          </w:p>
        </w:tc>
        <w:tc>
          <w:tcPr>
            <w:tcW w:w="0" w:type="auto"/>
            <w:shd w:val="clear" w:color="auto" w:fill="auto"/>
            <w:vAlign w:val="bottom"/>
          </w:tcPr>
          <w:p w14:paraId="05D61F1E" w14:textId="28F903CE"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5CF70DCC" w14:textId="77777777" w:rsidTr="00814A59">
        <w:trPr>
          <w:trHeight w:val="227"/>
        </w:trPr>
        <w:tc>
          <w:tcPr>
            <w:tcW w:w="0" w:type="auto"/>
            <w:shd w:val="clear" w:color="auto" w:fill="auto"/>
            <w:vAlign w:val="center"/>
            <w:hideMark/>
          </w:tcPr>
          <w:p w14:paraId="4A7F81C2"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Comunicazioni</w:t>
            </w:r>
          </w:p>
        </w:tc>
        <w:tc>
          <w:tcPr>
            <w:tcW w:w="1055" w:type="dxa"/>
            <w:shd w:val="clear" w:color="000000" w:fill="E6E6E6"/>
            <w:vAlign w:val="center"/>
            <w:hideMark/>
          </w:tcPr>
          <w:p w14:paraId="18A1DE86" w14:textId="4BD3D09C"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59,31</w:t>
            </w:r>
          </w:p>
        </w:tc>
        <w:tc>
          <w:tcPr>
            <w:tcW w:w="1056" w:type="dxa"/>
            <w:shd w:val="clear" w:color="auto" w:fill="auto"/>
            <w:vAlign w:val="center"/>
            <w:hideMark/>
          </w:tcPr>
          <w:p w14:paraId="14E28C81" w14:textId="70A18252"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0,8</w:t>
            </w:r>
          </w:p>
        </w:tc>
        <w:tc>
          <w:tcPr>
            <w:tcW w:w="1055" w:type="dxa"/>
            <w:shd w:val="clear" w:color="000000" w:fill="E6E6E6"/>
            <w:vAlign w:val="center"/>
            <w:hideMark/>
          </w:tcPr>
          <w:p w14:paraId="5234F1D3" w14:textId="54630899"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54</w:t>
            </w:r>
            <w:r w:rsidR="00C70D65" w:rsidRPr="004C1D16">
              <w:rPr>
                <w:rFonts w:ascii="Arial Narrow" w:hAnsi="Arial Narrow"/>
                <w:color w:val="1F497D"/>
                <w:sz w:val="21"/>
                <w:szCs w:val="21"/>
              </w:rPr>
              <w:t>,</w:t>
            </w:r>
            <w:r w:rsidRPr="004C1D16">
              <w:rPr>
                <w:rFonts w:ascii="Arial Narrow" w:hAnsi="Arial Narrow"/>
                <w:color w:val="1F497D"/>
                <w:sz w:val="21"/>
                <w:szCs w:val="21"/>
              </w:rPr>
              <w:t>16</w:t>
            </w:r>
          </w:p>
        </w:tc>
        <w:tc>
          <w:tcPr>
            <w:tcW w:w="1056" w:type="dxa"/>
            <w:shd w:val="clear" w:color="auto" w:fill="auto"/>
            <w:vAlign w:val="center"/>
            <w:hideMark/>
          </w:tcPr>
          <w:p w14:paraId="542E17FF" w14:textId="1461EB23"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0,8</w:t>
            </w:r>
          </w:p>
        </w:tc>
        <w:tc>
          <w:tcPr>
            <w:tcW w:w="0" w:type="auto"/>
            <w:shd w:val="clear" w:color="auto" w:fill="auto"/>
            <w:vAlign w:val="bottom"/>
          </w:tcPr>
          <w:p w14:paraId="075B8481" w14:textId="7413BA64"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5C47190F" w14:textId="77777777" w:rsidTr="00814A59">
        <w:trPr>
          <w:trHeight w:val="227"/>
        </w:trPr>
        <w:tc>
          <w:tcPr>
            <w:tcW w:w="0" w:type="auto"/>
            <w:shd w:val="clear" w:color="auto" w:fill="auto"/>
            <w:vAlign w:val="center"/>
            <w:hideMark/>
          </w:tcPr>
          <w:p w14:paraId="0CD92926"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Ricreazione, spettacoli e cultura</w:t>
            </w:r>
          </w:p>
        </w:tc>
        <w:tc>
          <w:tcPr>
            <w:tcW w:w="1055" w:type="dxa"/>
            <w:shd w:val="clear" w:color="000000" w:fill="E6E6E6"/>
            <w:vAlign w:val="center"/>
            <w:hideMark/>
          </w:tcPr>
          <w:p w14:paraId="020C48B6" w14:textId="5D12E3AE"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127,01</w:t>
            </w:r>
          </w:p>
        </w:tc>
        <w:tc>
          <w:tcPr>
            <w:tcW w:w="1056" w:type="dxa"/>
            <w:shd w:val="clear" w:color="auto" w:fill="auto"/>
            <w:vAlign w:val="center"/>
            <w:hideMark/>
          </w:tcPr>
          <w:p w14:paraId="2C4E208C" w14:textId="21421E9B"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1,5</w:t>
            </w:r>
          </w:p>
        </w:tc>
        <w:tc>
          <w:tcPr>
            <w:tcW w:w="1055" w:type="dxa"/>
            <w:shd w:val="clear" w:color="000000" w:fill="E6E6E6"/>
            <w:vAlign w:val="center"/>
            <w:hideMark/>
          </w:tcPr>
          <w:p w14:paraId="4C4357B4" w14:textId="15B4B212"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93</w:t>
            </w:r>
            <w:r w:rsidR="00C70D65" w:rsidRPr="004C1D16">
              <w:rPr>
                <w:rFonts w:ascii="Arial Narrow" w:hAnsi="Arial Narrow"/>
                <w:color w:val="1F497D"/>
                <w:sz w:val="21"/>
                <w:szCs w:val="21"/>
              </w:rPr>
              <w:t>,</w:t>
            </w:r>
            <w:r w:rsidRPr="004C1D16">
              <w:rPr>
                <w:rFonts w:ascii="Arial Narrow" w:hAnsi="Arial Narrow"/>
                <w:color w:val="1F497D"/>
                <w:sz w:val="21"/>
                <w:szCs w:val="21"/>
              </w:rPr>
              <w:t>49</w:t>
            </w:r>
          </w:p>
        </w:tc>
        <w:tc>
          <w:tcPr>
            <w:tcW w:w="1056" w:type="dxa"/>
            <w:shd w:val="clear" w:color="auto" w:fill="auto"/>
            <w:vAlign w:val="center"/>
            <w:hideMark/>
          </w:tcPr>
          <w:p w14:paraId="4E8871C0" w14:textId="317121A2"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1,5</w:t>
            </w:r>
          </w:p>
        </w:tc>
        <w:tc>
          <w:tcPr>
            <w:tcW w:w="0" w:type="auto"/>
            <w:shd w:val="clear" w:color="auto" w:fill="auto"/>
            <w:vAlign w:val="bottom"/>
          </w:tcPr>
          <w:p w14:paraId="6380B906" w14:textId="33E29640"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2952B9D5" w14:textId="77777777" w:rsidTr="00814A59">
        <w:trPr>
          <w:trHeight w:val="227"/>
        </w:trPr>
        <w:tc>
          <w:tcPr>
            <w:tcW w:w="0" w:type="auto"/>
            <w:shd w:val="clear" w:color="auto" w:fill="auto"/>
            <w:vAlign w:val="center"/>
            <w:hideMark/>
          </w:tcPr>
          <w:p w14:paraId="2E993449"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Istruzione</w:t>
            </w:r>
          </w:p>
        </w:tc>
        <w:tc>
          <w:tcPr>
            <w:tcW w:w="1055" w:type="dxa"/>
            <w:shd w:val="clear" w:color="000000" w:fill="E6E6E6"/>
            <w:vAlign w:val="center"/>
            <w:hideMark/>
          </w:tcPr>
          <w:p w14:paraId="46779435" w14:textId="1C4A4E20"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15,83</w:t>
            </w:r>
          </w:p>
        </w:tc>
        <w:tc>
          <w:tcPr>
            <w:tcW w:w="1056" w:type="dxa"/>
            <w:shd w:val="clear" w:color="auto" w:fill="auto"/>
            <w:vAlign w:val="center"/>
            <w:hideMark/>
          </w:tcPr>
          <w:p w14:paraId="747D9E3A" w14:textId="4D6CA108"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3,3</w:t>
            </w:r>
          </w:p>
        </w:tc>
        <w:tc>
          <w:tcPr>
            <w:tcW w:w="1055" w:type="dxa"/>
            <w:shd w:val="clear" w:color="000000" w:fill="E6E6E6"/>
            <w:vAlign w:val="center"/>
            <w:hideMark/>
          </w:tcPr>
          <w:p w14:paraId="122C0345" w14:textId="208206BF"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3</w:t>
            </w:r>
            <w:r w:rsidRPr="004C1D16">
              <w:rPr>
                <w:rFonts w:ascii="Arial Narrow" w:hAnsi="Arial Narrow"/>
                <w:color w:val="1F497D"/>
                <w:sz w:val="21"/>
                <w:szCs w:val="21"/>
              </w:rPr>
              <w:t>,</w:t>
            </w:r>
            <w:r w:rsidR="002117CF" w:rsidRPr="004C1D16">
              <w:rPr>
                <w:rFonts w:ascii="Arial Narrow" w:hAnsi="Arial Narrow"/>
                <w:color w:val="1F497D"/>
                <w:sz w:val="21"/>
                <w:szCs w:val="21"/>
              </w:rPr>
              <w:t>63</w:t>
            </w:r>
          </w:p>
        </w:tc>
        <w:tc>
          <w:tcPr>
            <w:tcW w:w="1056" w:type="dxa"/>
            <w:shd w:val="clear" w:color="auto" w:fill="auto"/>
            <w:vAlign w:val="center"/>
            <w:hideMark/>
          </w:tcPr>
          <w:p w14:paraId="3D862CA2" w14:textId="400DE97D"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3</w:t>
            </w:r>
            <w:r w:rsidR="002117CF" w:rsidRPr="004C1D16">
              <w:rPr>
                <w:rFonts w:ascii="Arial Narrow" w:hAnsi="Arial Narrow"/>
                <w:color w:val="1F497D"/>
                <w:sz w:val="21"/>
                <w:szCs w:val="21"/>
              </w:rPr>
              <w:t>,2</w:t>
            </w:r>
          </w:p>
        </w:tc>
        <w:tc>
          <w:tcPr>
            <w:tcW w:w="0" w:type="auto"/>
            <w:shd w:val="clear" w:color="auto" w:fill="auto"/>
            <w:vAlign w:val="bottom"/>
          </w:tcPr>
          <w:p w14:paraId="5F6B1007" w14:textId="16AADBE9"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23D28AEA" w14:textId="77777777" w:rsidTr="00814A59">
        <w:trPr>
          <w:trHeight w:val="227"/>
        </w:trPr>
        <w:tc>
          <w:tcPr>
            <w:tcW w:w="0" w:type="auto"/>
            <w:shd w:val="clear" w:color="auto" w:fill="auto"/>
            <w:vAlign w:val="center"/>
            <w:hideMark/>
          </w:tcPr>
          <w:p w14:paraId="65AFD953"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Servizi ricettivi e di ristorazione</w:t>
            </w:r>
          </w:p>
        </w:tc>
        <w:tc>
          <w:tcPr>
            <w:tcW w:w="1055" w:type="dxa"/>
            <w:shd w:val="clear" w:color="000000" w:fill="E6E6E6"/>
            <w:vAlign w:val="center"/>
            <w:hideMark/>
          </w:tcPr>
          <w:p w14:paraId="263120CB" w14:textId="22780772"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129,98</w:t>
            </w:r>
          </w:p>
        </w:tc>
        <w:tc>
          <w:tcPr>
            <w:tcW w:w="1056" w:type="dxa"/>
            <w:shd w:val="clear" w:color="auto" w:fill="auto"/>
            <w:vAlign w:val="center"/>
            <w:hideMark/>
          </w:tcPr>
          <w:p w14:paraId="45C3C4D7" w14:textId="4BFB8B3E"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1,3</w:t>
            </w:r>
          </w:p>
        </w:tc>
        <w:tc>
          <w:tcPr>
            <w:tcW w:w="1055" w:type="dxa"/>
            <w:shd w:val="clear" w:color="000000" w:fill="E6E6E6"/>
            <w:vAlign w:val="center"/>
            <w:hideMark/>
          </w:tcPr>
          <w:p w14:paraId="026355AF" w14:textId="29B124D7"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7</w:t>
            </w:r>
            <w:r w:rsidR="00C70D65" w:rsidRPr="004C1D16">
              <w:rPr>
                <w:rFonts w:ascii="Arial Narrow" w:hAnsi="Arial Narrow"/>
                <w:color w:val="1F497D"/>
                <w:sz w:val="21"/>
                <w:szCs w:val="21"/>
              </w:rPr>
              <w:t>9,</w:t>
            </w:r>
            <w:r w:rsidRPr="004C1D16">
              <w:rPr>
                <w:rFonts w:ascii="Arial Narrow" w:hAnsi="Arial Narrow"/>
                <w:color w:val="1F497D"/>
                <w:sz w:val="21"/>
                <w:szCs w:val="21"/>
              </w:rPr>
              <w:t>41</w:t>
            </w:r>
          </w:p>
        </w:tc>
        <w:tc>
          <w:tcPr>
            <w:tcW w:w="1056" w:type="dxa"/>
            <w:shd w:val="clear" w:color="auto" w:fill="auto"/>
            <w:vAlign w:val="center"/>
            <w:hideMark/>
          </w:tcPr>
          <w:p w14:paraId="37DACB6E" w14:textId="0A7973A0"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,5</w:t>
            </w:r>
          </w:p>
        </w:tc>
        <w:tc>
          <w:tcPr>
            <w:tcW w:w="0" w:type="auto"/>
            <w:shd w:val="clear" w:color="auto" w:fill="auto"/>
            <w:vAlign w:val="bottom"/>
          </w:tcPr>
          <w:p w14:paraId="5FBAFEEC" w14:textId="33C33823"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r w:rsidR="00C70D65" w:rsidRPr="004C1D16" w14:paraId="445B13C7" w14:textId="77777777" w:rsidTr="00814A59">
        <w:trPr>
          <w:trHeight w:val="227"/>
        </w:trPr>
        <w:tc>
          <w:tcPr>
            <w:tcW w:w="0" w:type="auto"/>
            <w:shd w:val="clear" w:color="auto" w:fill="auto"/>
            <w:vAlign w:val="center"/>
            <w:hideMark/>
          </w:tcPr>
          <w:p w14:paraId="5F27EB0D" w14:textId="77777777" w:rsidR="00C70D65" w:rsidRPr="004C1D16" w:rsidRDefault="00C70D65" w:rsidP="004C1D16">
            <w:pPr>
              <w:spacing w:before="40" w:after="20"/>
              <w:ind w:firstLineChars="100" w:firstLine="210"/>
              <w:contextualSpacing/>
              <w:rPr>
                <w:rFonts w:ascii="Arial Narrow" w:hAnsi="Arial Narrow"/>
                <w:color w:val="1F497D"/>
                <w:sz w:val="21"/>
                <w:szCs w:val="21"/>
              </w:rPr>
            </w:pPr>
            <w:r w:rsidRPr="004C1D16">
              <w:rPr>
                <w:rFonts w:ascii="Arial Narrow" w:hAnsi="Arial Narrow"/>
                <w:color w:val="1F497D"/>
                <w:sz w:val="21"/>
                <w:szCs w:val="21"/>
              </w:rPr>
              <w:t>Altri beni e servizi</w:t>
            </w:r>
          </w:p>
        </w:tc>
        <w:tc>
          <w:tcPr>
            <w:tcW w:w="1055" w:type="dxa"/>
            <w:shd w:val="clear" w:color="000000" w:fill="E6E6E6"/>
            <w:vAlign w:val="center"/>
            <w:hideMark/>
          </w:tcPr>
          <w:p w14:paraId="19714CD5" w14:textId="501E2720" w:rsidR="00C70D65" w:rsidRPr="004C1D16" w:rsidRDefault="00C70D65">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189,96</w:t>
            </w:r>
          </w:p>
        </w:tc>
        <w:tc>
          <w:tcPr>
            <w:tcW w:w="1056" w:type="dxa"/>
            <w:shd w:val="clear" w:color="auto" w:fill="auto"/>
            <w:vAlign w:val="center"/>
            <w:hideMark/>
          </w:tcPr>
          <w:p w14:paraId="2A9D4B91" w14:textId="55E70F96"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1,2</w:t>
            </w:r>
          </w:p>
        </w:tc>
        <w:tc>
          <w:tcPr>
            <w:tcW w:w="1055" w:type="dxa"/>
            <w:shd w:val="clear" w:color="000000" w:fill="E6E6E6"/>
            <w:vAlign w:val="center"/>
            <w:hideMark/>
          </w:tcPr>
          <w:p w14:paraId="6F68B863" w14:textId="317C8ED7" w:rsidR="00C70D65" w:rsidRPr="004C1D16" w:rsidRDefault="002117CF">
            <w:pPr>
              <w:spacing w:before="40" w:after="20"/>
              <w:contextualSpacing/>
              <w:jc w:val="right"/>
              <w:rPr>
                <w:rFonts w:ascii="Arial Narrow" w:hAnsi="Arial Narrow"/>
                <w:color w:val="1F497D"/>
                <w:sz w:val="21"/>
                <w:szCs w:val="21"/>
              </w:rPr>
            </w:pPr>
            <w:r w:rsidRPr="004C1D16">
              <w:rPr>
                <w:rFonts w:ascii="Arial Narrow" w:hAnsi="Arial Narrow"/>
                <w:color w:val="1F497D"/>
                <w:sz w:val="21"/>
                <w:szCs w:val="21"/>
              </w:rPr>
              <w:t>167</w:t>
            </w:r>
            <w:r w:rsidR="00C70D65" w:rsidRPr="004C1D16">
              <w:rPr>
                <w:rFonts w:ascii="Arial Narrow" w:hAnsi="Arial Narrow"/>
                <w:color w:val="1F497D"/>
                <w:sz w:val="21"/>
                <w:szCs w:val="21"/>
              </w:rPr>
              <w:t>,</w:t>
            </w:r>
            <w:r w:rsidRPr="004C1D16">
              <w:rPr>
                <w:rFonts w:ascii="Arial Narrow" w:hAnsi="Arial Narrow"/>
                <w:color w:val="1F497D"/>
                <w:sz w:val="21"/>
                <w:szCs w:val="21"/>
              </w:rPr>
              <w:t>04</w:t>
            </w:r>
          </w:p>
        </w:tc>
        <w:tc>
          <w:tcPr>
            <w:tcW w:w="1056" w:type="dxa"/>
            <w:shd w:val="clear" w:color="auto" w:fill="auto"/>
            <w:vAlign w:val="center"/>
            <w:hideMark/>
          </w:tcPr>
          <w:p w14:paraId="1F76AF71" w14:textId="1C5267FF" w:rsidR="00C70D65" w:rsidRPr="004C1D16" w:rsidRDefault="00C70D65">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1,</w:t>
            </w:r>
            <w:r w:rsidR="002117CF" w:rsidRPr="004C1D16">
              <w:rPr>
                <w:rFonts w:ascii="Arial Narrow" w:hAnsi="Arial Narrow"/>
                <w:color w:val="1F497D"/>
                <w:sz w:val="21"/>
                <w:szCs w:val="21"/>
              </w:rPr>
              <w:t>4</w:t>
            </w:r>
          </w:p>
        </w:tc>
        <w:tc>
          <w:tcPr>
            <w:tcW w:w="0" w:type="auto"/>
            <w:shd w:val="clear" w:color="auto" w:fill="auto"/>
            <w:vAlign w:val="bottom"/>
          </w:tcPr>
          <w:p w14:paraId="27355719" w14:textId="634D5CEC" w:rsidR="00C70D65" w:rsidRPr="004C1D16" w:rsidRDefault="000F33C6">
            <w:pPr>
              <w:spacing w:before="40" w:after="20"/>
              <w:contextualSpacing/>
              <w:jc w:val="center"/>
              <w:rPr>
                <w:rFonts w:ascii="Arial Narrow" w:hAnsi="Arial Narrow"/>
                <w:color w:val="1F497D"/>
                <w:sz w:val="21"/>
                <w:szCs w:val="21"/>
              </w:rPr>
            </w:pPr>
            <w:r w:rsidRPr="004C1D16">
              <w:rPr>
                <w:rFonts w:ascii="Arial Narrow" w:hAnsi="Arial Narrow"/>
                <w:color w:val="1F497D"/>
                <w:sz w:val="21"/>
                <w:szCs w:val="21"/>
              </w:rPr>
              <w:t>*</w:t>
            </w:r>
          </w:p>
        </w:tc>
      </w:tr>
    </w:tbl>
    <w:p w14:paraId="349239EA" w14:textId="64AC3295" w:rsidR="0004198F" w:rsidRPr="004C1D16" w:rsidRDefault="0004198F" w:rsidP="004451EE">
      <w:pPr>
        <w:spacing w:after="120"/>
        <w:jc w:val="both"/>
        <w:rPr>
          <w:rFonts w:ascii="Arial" w:hAnsi="Arial" w:cs="Arial"/>
          <w:b/>
          <w:sz w:val="21"/>
          <w:szCs w:val="21"/>
        </w:rPr>
      </w:pPr>
      <w:r w:rsidRPr="004C1D16">
        <w:rPr>
          <w:rFonts w:ascii="Arial Narrow" w:hAnsi="Arial Narrow"/>
          <w:sz w:val="21"/>
          <w:szCs w:val="21"/>
        </w:rPr>
        <w:t>(*) La presenza dell’asterisco indica che la variazione tra il 201</w:t>
      </w:r>
      <w:r w:rsidR="00C70D65" w:rsidRPr="004C1D16">
        <w:rPr>
          <w:rFonts w:ascii="Arial Narrow" w:hAnsi="Arial Narrow"/>
          <w:sz w:val="21"/>
          <w:szCs w:val="21"/>
        </w:rPr>
        <w:t>9</w:t>
      </w:r>
      <w:r w:rsidRPr="004C1D16">
        <w:rPr>
          <w:rFonts w:ascii="Arial Narrow" w:hAnsi="Arial Narrow"/>
          <w:sz w:val="21"/>
          <w:szCs w:val="21"/>
        </w:rPr>
        <w:t xml:space="preserve"> e il 20</w:t>
      </w:r>
      <w:r w:rsidR="00C70D65" w:rsidRPr="004C1D16">
        <w:rPr>
          <w:rFonts w:ascii="Arial Narrow" w:hAnsi="Arial Narrow"/>
          <w:sz w:val="21"/>
          <w:szCs w:val="21"/>
        </w:rPr>
        <w:t>20</w:t>
      </w:r>
      <w:r w:rsidRPr="004C1D16">
        <w:rPr>
          <w:rFonts w:ascii="Arial Narrow" w:hAnsi="Arial Narrow"/>
          <w:sz w:val="21"/>
          <w:szCs w:val="21"/>
        </w:rPr>
        <w:t xml:space="preserve"> della spesa per singolo capitolo è statisticamente significativa (ovvero diversa da zero</w:t>
      </w:r>
      <w:r w:rsidR="00951B09" w:rsidRPr="004C1D16">
        <w:rPr>
          <w:rFonts w:ascii="Arial Narrow" w:hAnsi="Arial Narrow"/>
          <w:sz w:val="21"/>
          <w:szCs w:val="21"/>
        </w:rPr>
        <w:t>).</w:t>
      </w:r>
    </w:p>
    <w:p w14:paraId="622AD30C" w14:textId="77777777" w:rsidR="0004198F" w:rsidRPr="004C1D16" w:rsidRDefault="0004198F" w:rsidP="0004198F">
      <w:pPr>
        <w:autoSpaceDE w:val="0"/>
        <w:autoSpaceDN w:val="0"/>
        <w:adjustRightInd w:val="0"/>
        <w:rPr>
          <w:rFonts w:ascii="Arial" w:hAnsi="Arial" w:cs="Arial"/>
          <w:color w:val="000000"/>
          <w:sz w:val="21"/>
          <w:szCs w:val="21"/>
        </w:rPr>
      </w:pPr>
    </w:p>
    <w:p w14:paraId="1C08338F" w14:textId="77777777" w:rsidR="004C1D16" w:rsidRDefault="004C1D16" w:rsidP="004451EE">
      <w:pPr>
        <w:spacing w:after="120"/>
        <w:jc w:val="both"/>
        <w:rPr>
          <w:rFonts w:ascii="Arial" w:hAnsi="Arial" w:cs="Arial"/>
          <w:b/>
          <w:bCs/>
          <w:color w:val="1F497D"/>
          <w:sz w:val="21"/>
          <w:szCs w:val="21"/>
        </w:rPr>
      </w:pPr>
    </w:p>
    <w:p w14:paraId="01AEA428" w14:textId="77777777" w:rsidR="004C1D16" w:rsidRDefault="004C1D16" w:rsidP="004451EE">
      <w:pPr>
        <w:spacing w:after="120"/>
        <w:jc w:val="both"/>
        <w:rPr>
          <w:rFonts w:ascii="Arial" w:hAnsi="Arial" w:cs="Arial"/>
          <w:b/>
          <w:bCs/>
          <w:color w:val="1F497D"/>
          <w:sz w:val="21"/>
          <w:szCs w:val="21"/>
        </w:rPr>
      </w:pPr>
    </w:p>
    <w:p w14:paraId="23DC56A5" w14:textId="77777777" w:rsidR="004C1D16" w:rsidRDefault="004C1D16" w:rsidP="004451EE">
      <w:pPr>
        <w:spacing w:after="120"/>
        <w:jc w:val="both"/>
        <w:rPr>
          <w:rFonts w:ascii="Arial" w:hAnsi="Arial" w:cs="Arial"/>
          <w:b/>
          <w:bCs/>
          <w:color w:val="1F497D"/>
          <w:sz w:val="21"/>
          <w:szCs w:val="21"/>
        </w:rPr>
      </w:pPr>
    </w:p>
    <w:p w14:paraId="56F4AFB0" w14:textId="7433C06D" w:rsidR="00BA23AB" w:rsidRDefault="00BA23AB">
      <w:pPr>
        <w:rPr>
          <w:rFonts w:ascii="Arial" w:hAnsi="Arial" w:cs="Arial"/>
          <w:b/>
          <w:bCs/>
          <w:color w:val="1F497D"/>
          <w:sz w:val="21"/>
          <w:szCs w:val="21"/>
        </w:rPr>
      </w:pPr>
      <w:r>
        <w:rPr>
          <w:rFonts w:ascii="Arial" w:hAnsi="Arial" w:cs="Arial"/>
          <w:b/>
          <w:bCs/>
          <w:color w:val="1F497D"/>
          <w:sz w:val="21"/>
          <w:szCs w:val="21"/>
        </w:rPr>
        <w:br w:type="page"/>
      </w:r>
    </w:p>
    <w:p w14:paraId="0069FB5B" w14:textId="77777777" w:rsidR="004C1D16" w:rsidRDefault="004C1D16" w:rsidP="004451EE">
      <w:pPr>
        <w:spacing w:after="120"/>
        <w:jc w:val="both"/>
        <w:rPr>
          <w:rFonts w:ascii="Arial" w:hAnsi="Arial" w:cs="Arial"/>
          <w:b/>
          <w:bCs/>
          <w:color w:val="1F497D"/>
          <w:sz w:val="21"/>
          <w:szCs w:val="21"/>
        </w:rPr>
      </w:pPr>
    </w:p>
    <w:p w14:paraId="3F2B9812" w14:textId="45AFF721" w:rsidR="004451EE" w:rsidRPr="004C1D16" w:rsidRDefault="004451EE" w:rsidP="004451EE">
      <w:pPr>
        <w:spacing w:after="120"/>
        <w:jc w:val="both"/>
        <w:rPr>
          <w:rFonts w:ascii="Arial" w:hAnsi="Arial" w:cs="Arial"/>
          <w:b/>
          <w:color w:val="1F497D"/>
          <w:sz w:val="21"/>
          <w:szCs w:val="21"/>
        </w:rPr>
      </w:pPr>
      <w:r w:rsidRPr="004C1D16">
        <w:rPr>
          <w:rFonts w:ascii="Arial" w:hAnsi="Arial" w:cs="Arial"/>
          <w:b/>
          <w:bCs/>
          <w:color w:val="1F497D"/>
          <w:sz w:val="21"/>
          <w:szCs w:val="21"/>
        </w:rPr>
        <w:t>TAVOLA B</w:t>
      </w:r>
      <w:r w:rsidR="0018756E" w:rsidRPr="004C1D16">
        <w:rPr>
          <w:rFonts w:ascii="Arial" w:hAnsi="Arial" w:cs="Arial"/>
          <w:b/>
          <w:bCs/>
          <w:color w:val="1F497D"/>
          <w:sz w:val="21"/>
          <w:szCs w:val="21"/>
        </w:rPr>
        <w:t xml:space="preserve">. </w:t>
      </w:r>
      <w:r w:rsidR="00D40002" w:rsidRPr="004C1D16">
        <w:rPr>
          <w:rFonts w:ascii="Arial Narrow" w:hAnsi="Arial Narrow" w:cs="Arial"/>
          <w:b/>
          <w:iCs/>
          <w:noProof/>
          <w:color w:val="1F497D" w:themeColor="text2"/>
          <w:sz w:val="21"/>
          <w:szCs w:val="21"/>
        </w:rPr>
        <w:t>SPESA MEDIA DELLE FAMIGLIE, ERRORE RELATIVO E SIGNIFICATIVITÀ DELLA VARIAZIONE PER ALCUNE CARATTERISTICHE FAMILIARI</w:t>
      </w:r>
      <w:r w:rsidR="0018756E" w:rsidRPr="004C1D16">
        <w:rPr>
          <w:rFonts w:ascii="Arial Narrow" w:hAnsi="Arial Narrow" w:cs="Arial"/>
          <w:b/>
          <w:iCs/>
          <w:noProof/>
          <w:color w:val="1F497D" w:themeColor="text2"/>
          <w:sz w:val="21"/>
          <w:szCs w:val="21"/>
        </w:rPr>
        <w:t xml:space="preserve">. </w:t>
      </w:r>
      <w:r w:rsidR="00BB6DA6" w:rsidRPr="004C1D16">
        <w:rPr>
          <w:rFonts w:ascii="Arial Narrow" w:hAnsi="Arial Narrow" w:cs="Arial"/>
          <w:iCs/>
          <w:noProof/>
          <w:color w:val="1F497D" w:themeColor="text2"/>
          <w:sz w:val="21"/>
          <w:szCs w:val="21"/>
        </w:rPr>
        <w:t>Anni 201</w:t>
      </w:r>
      <w:r w:rsidR="00A910A0" w:rsidRPr="004C1D16">
        <w:rPr>
          <w:rFonts w:ascii="Arial Narrow" w:hAnsi="Arial Narrow" w:cs="Arial"/>
          <w:iCs/>
          <w:noProof/>
          <w:color w:val="1F497D" w:themeColor="text2"/>
          <w:sz w:val="21"/>
          <w:szCs w:val="21"/>
        </w:rPr>
        <w:t>9</w:t>
      </w:r>
      <w:r w:rsidR="00BB6DA6" w:rsidRPr="004C1D16">
        <w:rPr>
          <w:rFonts w:ascii="Arial Narrow" w:hAnsi="Arial Narrow" w:cs="Arial"/>
          <w:iCs/>
          <w:noProof/>
          <w:color w:val="1F497D" w:themeColor="text2"/>
          <w:sz w:val="21"/>
          <w:szCs w:val="21"/>
        </w:rPr>
        <w:t>-20</w:t>
      </w:r>
      <w:r w:rsidR="00A910A0" w:rsidRPr="004C1D16">
        <w:rPr>
          <w:rFonts w:ascii="Arial Narrow" w:hAnsi="Arial Narrow" w:cs="Arial"/>
          <w:iCs/>
          <w:noProof/>
          <w:color w:val="1F497D" w:themeColor="text2"/>
          <w:sz w:val="21"/>
          <w:szCs w:val="21"/>
        </w:rPr>
        <w:t>20</w:t>
      </w:r>
      <w:r w:rsidR="00D40002" w:rsidRPr="004C1D16">
        <w:rPr>
          <w:rFonts w:ascii="Arial Narrow" w:hAnsi="Arial Narrow" w:cs="Arial"/>
          <w:iCs/>
          <w:noProof/>
          <w:color w:val="1F497D" w:themeColor="text2"/>
          <w:sz w:val="21"/>
          <w:szCs w:val="21"/>
        </w:rPr>
        <w:t>, valori in euro e in percentuale</w:t>
      </w:r>
    </w:p>
    <w:tbl>
      <w:tblPr>
        <w:tblW w:w="0" w:type="auto"/>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058"/>
        <w:gridCol w:w="1017"/>
        <w:gridCol w:w="1016"/>
        <w:gridCol w:w="1017"/>
        <w:gridCol w:w="1016"/>
        <w:gridCol w:w="2025"/>
      </w:tblGrid>
      <w:tr w:rsidR="00995157" w:rsidRPr="004C1D16" w14:paraId="7FB1433B" w14:textId="77777777" w:rsidTr="00BB6DA6">
        <w:trPr>
          <w:trHeight w:val="227"/>
        </w:trPr>
        <w:tc>
          <w:tcPr>
            <w:tcW w:w="4058" w:type="dxa"/>
            <w:vMerge w:val="restart"/>
            <w:shd w:val="clear" w:color="auto" w:fill="auto"/>
            <w:vAlign w:val="center"/>
            <w:hideMark/>
          </w:tcPr>
          <w:p w14:paraId="5646AC32" w14:textId="77777777" w:rsidR="00995157" w:rsidRPr="004C1D16" w:rsidRDefault="00995157" w:rsidP="00BE2E68">
            <w:pPr>
              <w:spacing w:before="40" w:after="20"/>
              <w:jc w:val="right"/>
              <w:rPr>
                <w:rFonts w:ascii="Arial Narrow" w:hAnsi="Arial Narrow"/>
                <w:b/>
                <w:bCs/>
                <w:color w:val="000000"/>
                <w:sz w:val="21"/>
                <w:szCs w:val="21"/>
              </w:rPr>
            </w:pPr>
            <w:r w:rsidRPr="004C1D16">
              <w:rPr>
                <w:rFonts w:ascii="Arial Narrow" w:hAnsi="Arial Narrow"/>
                <w:b/>
                <w:bCs/>
                <w:color w:val="000000"/>
                <w:sz w:val="21"/>
                <w:szCs w:val="21"/>
              </w:rPr>
              <w:t> </w:t>
            </w:r>
          </w:p>
        </w:tc>
        <w:tc>
          <w:tcPr>
            <w:tcW w:w="2033" w:type="dxa"/>
            <w:gridSpan w:val="2"/>
            <w:shd w:val="clear" w:color="auto" w:fill="auto"/>
            <w:vAlign w:val="center"/>
            <w:hideMark/>
          </w:tcPr>
          <w:p w14:paraId="7048EA08" w14:textId="2E56397D" w:rsidR="00995157" w:rsidRPr="004C1D16" w:rsidRDefault="00995157" w:rsidP="00A910A0">
            <w:pPr>
              <w:spacing w:before="40" w:after="20"/>
              <w:jc w:val="center"/>
              <w:rPr>
                <w:rFonts w:ascii="Arial Narrow" w:hAnsi="Arial Narrow"/>
                <w:b/>
                <w:bCs/>
                <w:color w:val="1F497D"/>
                <w:sz w:val="21"/>
                <w:szCs w:val="21"/>
              </w:rPr>
            </w:pPr>
            <w:r w:rsidRPr="004C1D16">
              <w:rPr>
                <w:rFonts w:ascii="Arial Narrow" w:hAnsi="Arial Narrow"/>
                <w:b/>
                <w:bCs/>
                <w:color w:val="1F497D"/>
                <w:sz w:val="21"/>
                <w:szCs w:val="21"/>
              </w:rPr>
              <w:t>201</w:t>
            </w:r>
            <w:r w:rsidR="00A910A0" w:rsidRPr="004C1D16">
              <w:rPr>
                <w:rFonts w:ascii="Arial Narrow" w:hAnsi="Arial Narrow"/>
                <w:b/>
                <w:bCs/>
                <w:color w:val="1F497D"/>
                <w:sz w:val="21"/>
                <w:szCs w:val="21"/>
              </w:rPr>
              <w:t>9</w:t>
            </w:r>
          </w:p>
        </w:tc>
        <w:tc>
          <w:tcPr>
            <w:tcW w:w="2033" w:type="dxa"/>
            <w:gridSpan w:val="2"/>
            <w:shd w:val="clear" w:color="auto" w:fill="auto"/>
            <w:vAlign w:val="center"/>
            <w:hideMark/>
          </w:tcPr>
          <w:p w14:paraId="38471604" w14:textId="73FA8A29" w:rsidR="00995157" w:rsidRPr="004C1D16" w:rsidRDefault="00995157" w:rsidP="00A910A0">
            <w:pPr>
              <w:spacing w:before="40" w:after="20"/>
              <w:jc w:val="center"/>
              <w:rPr>
                <w:rFonts w:ascii="Arial Narrow" w:hAnsi="Arial Narrow"/>
                <w:b/>
                <w:bCs/>
                <w:color w:val="1F497D"/>
                <w:sz w:val="21"/>
                <w:szCs w:val="21"/>
              </w:rPr>
            </w:pPr>
            <w:r w:rsidRPr="004C1D16">
              <w:rPr>
                <w:rFonts w:ascii="Arial Narrow" w:hAnsi="Arial Narrow"/>
                <w:b/>
                <w:bCs/>
                <w:color w:val="1F497D"/>
                <w:sz w:val="21"/>
                <w:szCs w:val="21"/>
              </w:rPr>
              <w:t>20</w:t>
            </w:r>
            <w:r w:rsidR="00A910A0" w:rsidRPr="004C1D16">
              <w:rPr>
                <w:rFonts w:ascii="Arial Narrow" w:hAnsi="Arial Narrow"/>
                <w:b/>
                <w:bCs/>
                <w:color w:val="1F497D"/>
                <w:sz w:val="21"/>
                <w:szCs w:val="21"/>
              </w:rPr>
              <w:t>20</w:t>
            </w:r>
          </w:p>
        </w:tc>
        <w:tc>
          <w:tcPr>
            <w:tcW w:w="2025" w:type="dxa"/>
            <w:vMerge w:val="restart"/>
            <w:shd w:val="clear" w:color="auto" w:fill="auto"/>
            <w:vAlign w:val="center"/>
            <w:hideMark/>
          </w:tcPr>
          <w:p w14:paraId="1A245A84" w14:textId="77777777" w:rsidR="00995157" w:rsidRPr="004C1D16" w:rsidRDefault="00995157" w:rsidP="00BE2E68">
            <w:pPr>
              <w:spacing w:before="40" w:after="20"/>
              <w:jc w:val="center"/>
              <w:rPr>
                <w:rFonts w:ascii="Arial Narrow" w:hAnsi="Arial Narrow"/>
                <w:b/>
                <w:bCs/>
                <w:color w:val="1F497D"/>
                <w:sz w:val="21"/>
                <w:szCs w:val="21"/>
              </w:rPr>
            </w:pPr>
            <w:r w:rsidRPr="004C1D16">
              <w:rPr>
                <w:rFonts w:ascii="Arial Narrow" w:hAnsi="Arial Narrow"/>
                <w:b/>
                <w:bCs/>
                <w:color w:val="1F497D"/>
                <w:sz w:val="21"/>
                <w:szCs w:val="21"/>
              </w:rPr>
              <w:t>Variazione significativa (*)</w:t>
            </w:r>
          </w:p>
        </w:tc>
      </w:tr>
      <w:tr w:rsidR="00AF69D1" w:rsidRPr="004C1D16" w14:paraId="70B5ACF5" w14:textId="77777777" w:rsidTr="00AB1B70">
        <w:trPr>
          <w:trHeight w:val="227"/>
        </w:trPr>
        <w:tc>
          <w:tcPr>
            <w:tcW w:w="4058" w:type="dxa"/>
            <w:vMerge/>
            <w:vAlign w:val="center"/>
            <w:hideMark/>
          </w:tcPr>
          <w:p w14:paraId="4E6D2100" w14:textId="77777777" w:rsidR="00995157" w:rsidRPr="004C1D16" w:rsidRDefault="00995157" w:rsidP="00BE2E68">
            <w:pPr>
              <w:spacing w:before="40" w:after="20"/>
              <w:rPr>
                <w:rFonts w:ascii="Arial Narrow" w:hAnsi="Arial Narrow"/>
                <w:b/>
                <w:bCs/>
                <w:color w:val="000000"/>
                <w:sz w:val="21"/>
                <w:szCs w:val="21"/>
              </w:rPr>
            </w:pPr>
          </w:p>
        </w:tc>
        <w:tc>
          <w:tcPr>
            <w:tcW w:w="1017" w:type="dxa"/>
            <w:shd w:val="clear" w:color="000000" w:fill="E6E6E6"/>
            <w:vAlign w:val="center"/>
            <w:hideMark/>
          </w:tcPr>
          <w:p w14:paraId="4B97CC80" w14:textId="77777777" w:rsidR="00995157" w:rsidRPr="004C1D16" w:rsidRDefault="00995157" w:rsidP="00BE2E68">
            <w:pPr>
              <w:spacing w:before="40" w:after="20"/>
              <w:jc w:val="right"/>
              <w:rPr>
                <w:rFonts w:ascii="Arial Narrow" w:hAnsi="Arial Narrow"/>
                <w:color w:val="1F497D"/>
                <w:sz w:val="21"/>
                <w:szCs w:val="21"/>
              </w:rPr>
            </w:pPr>
            <w:r w:rsidRPr="004C1D16">
              <w:rPr>
                <w:rFonts w:ascii="Arial Narrow" w:hAnsi="Arial Narrow"/>
                <w:color w:val="1F497D"/>
                <w:sz w:val="21"/>
                <w:szCs w:val="21"/>
              </w:rPr>
              <w:t>Spesa media</w:t>
            </w:r>
          </w:p>
        </w:tc>
        <w:tc>
          <w:tcPr>
            <w:tcW w:w="1016" w:type="dxa"/>
            <w:shd w:val="clear" w:color="auto" w:fill="auto"/>
            <w:vAlign w:val="center"/>
            <w:hideMark/>
          </w:tcPr>
          <w:p w14:paraId="198D19A0" w14:textId="77777777" w:rsidR="00995157" w:rsidRPr="004C1D16" w:rsidRDefault="00995157" w:rsidP="00BE2E68">
            <w:pPr>
              <w:spacing w:before="40" w:after="20"/>
              <w:jc w:val="center"/>
              <w:rPr>
                <w:rFonts w:ascii="Arial Narrow" w:hAnsi="Arial Narrow"/>
                <w:color w:val="1F497D"/>
                <w:sz w:val="21"/>
                <w:szCs w:val="21"/>
              </w:rPr>
            </w:pPr>
            <w:r w:rsidRPr="004C1D16">
              <w:rPr>
                <w:rFonts w:ascii="Arial Narrow" w:hAnsi="Arial Narrow"/>
                <w:color w:val="1F497D"/>
                <w:sz w:val="21"/>
                <w:szCs w:val="21"/>
              </w:rPr>
              <w:t>Errore relativo (%)</w:t>
            </w:r>
          </w:p>
        </w:tc>
        <w:tc>
          <w:tcPr>
            <w:tcW w:w="1017" w:type="dxa"/>
            <w:shd w:val="clear" w:color="000000" w:fill="E6E6E6"/>
            <w:vAlign w:val="center"/>
            <w:hideMark/>
          </w:tcPr>
          <w:p w14:paraId="551CE1C5" w14:textId="77777777" w:rsidR="00995157" w:rsidRPr="004C1D16" w:rsidRDefault="00995157" w:rsidP="00BE2E68">
            <w:pPr>
              <w:spacing w:before="40" w:after="20"/>
              <w:jc w:val="right"/>
              <w:rPr>
                <w:rFonts w:ascii="Arial Narrow" w:hAnsi="Arial Narrow"/>
                <w:color w:val="1F497D"/>
                <w:sz w:val="21"/>
                <w:szCs w:val="21"/>
              </w:rPr>
            </w:pPr>
            <w:r w:rsidRPr="004C1D16">
              <w:rPr>
                <w:rFonts w:ascii="Arial Narrow" w:hAnsi="Arial Narrow"/>
                <w:color w:val="1F497D"/>
                <w:sz w:val="21"/>
                <w:szCs w:val="21"/>
              </w:rPr>
              <w:t>Spesa media</w:t>
            </w:r>
          </w:p>
        </w:tc>
        <w:tc>
          <w:tcPr>
            <w:tcW w:w="1016" w:type="dxa"/>
            <w:shd w:val="clear" w:color="auto" w:fill="auto"/>
            <w:vAlign w:val="center"/>
            <w:hideMark/>
          </w:tcPr>
          <w:p w14:paraId="500E29D1" w14:textId="77777777" w:rsidR="00995157" w:rsidRPr="004C1D16" w:rsidRDefault="00995157" w:rsidP="00BE2E68">
            <w:pPr>
              <w:spacing w:before="40" w:after="20"/>
              <w:jc w:val="center"/>
              <w:rPr>
                <w:rFonts w:ascii="Arial Narrow" w:hAnsi="Arial Narrow"/>
                <w:color w:val="1F497D"/>
                <w:sz w:val="21"/>
                <w:szCs w:val="21"/>
              </w:rPr>
            </w:pPr>
            <w:r w:rsidRPr="004C1D16">
              <w:rPr>
                <w:rFonts w:ascii="Arial Narrow" w:hAnsi="Arial Narrow"/>
                <w:color w:val="1F497D"/>
                <w:sz w:val="21"/>
                <w:szCs w:val="21"/>
              </w:rPr>
              <w:t>Errore relativo (%)</w:t>
            </w:r>
          </w:p>
        </w:tc>
        <w:tc>
          <w:tcPr>
            <w:tcW w:w="2025" w:type="dxa"/>
            <w:vMerge/>
            <w:shd w:val="clear" w:color="auto" w:fill="auto"/>
            <w:vAlign w:val="center"/>
            <w:hideMark/>
          </w:tcPr>
          <w:p w14:paraId="4A671C4E" w14:textId="77777777" w:rsidR="00995157" w:rsidRPr="004C1D16" w:rsidRDefault="00995157" w:rsidP="00BE2E68">
            <w:pPr>
              <w:spacing w:before="40" w:after="20"/>
              <w:rPr>
                <w:rFonts w:ascii="Arial Narrow" w:hAnsi="Arial Narrow"/>
                <w:b/>
                <w:bCs/>
                <w:color w:val="1F497D"/>
                <w:sz w:val="21"/>
                <w:szCs w:val="21"/>
              </w:rPr>
            </w:pPr>
          </w:p>
        </w:tc>
      </w:tr>
      <w:tr w:rsidR="00995157" w:rsidRPr="004C1D16" w14:paraId="2F6E2F77" w14:textId="77777777" w:rsidTr="00BB6DA6">
        <w:trPr>
          <w:trHeight w:val="227"/>
        </w:trPr>
        <w:tc>
          <w:tcPr>
            <w:tcW w:w="4058" w:type="dxa"/>
            <w:shd w:val="clear" w:color="000000" w:fill="1F497D"/>
            <w:vAlign w:val="center"/>
            <w:hideMark/>
          </w:tcPr>
          <w:p w14:paraId="04B91DEE" w14:textId="77777777" w:rsidR="00995157" w:rsidRPr="004C1D16" w:rsidRDefault="00995157" w:rsidP="00BE2E68">
            <w:pPr>
              <w:spacing w:before="40" w:after="20"/>
              <w:rPr>
                <w:rFonts w:ascii="Arial Narrow" w:hAnsi="Arial Narrow"/>
                <w:b/>
                <w:bCs/>
                <w:color w:val="FFFFFF"/>
                <w:sz w:val="21"/>
                <w:szCs w:val="21"/>
              </w:rPr>
            </w:pPr>
            <w:r w:rsidRPr="004C1D16">
              <w:rPr>
                <w:rFonts w:ascii="Arial Narrow" w:hAnsi="Arial Narrow"/>
                <w:b/>
                <w:bCs/>
                <w:color w:val="FFFFFF"/>
                <w:sz w:val="21"/>
                <w:szCs w:val="21"/>
              </w:rPr>
              <w:t>Ripartizione geografica</w:t>
            </w:r>
          </w:p>
        </w:tc>
        <w:tc>
          <w:tcPr>
            <w:tcW w:w="1017" w:type="dxa"/>
            <w:shd w:val="clear" w:color="000000" w:fill="1F497D"/>
            <w:vAlign w:val="center"/>
            <w:hideMark/>
          </w:tcPr>
          <w:p w14:paraId="4CBDEEBB" w14:textId="77777777" w:rsidR="00995157" w:rsidRPr="004C1D16" w:rsidRDefault="00995157" w:rsidP="00BE2E68">
            <w:pPr>
              <w:spacing w:before="40" w:after="20"/>
              <w:jc w:val="right"/>
              <w:rPr>
                <w:rFonts w:ascii="Arial Narrow" w:hAnsi="Arial Narrow"/>
                <w:b/>
                <w:bCs/>
                <w:color w:val="FFFFFF"/>
                <w:sz w:val="21"/>
                <w:szCs w:val="21"/>
              </w:rPr>
            </w:pPr>
            <w:r w:rsidRPr="004C1D16">
              <w:rPr>
                <w:rFonts w:ascii="Arial Narrow" w:hAnsi="Arial Narrow"/>
                <w:b/>
                <w:bCs/>
                <w:color w:val="FFFFFF"/>
                <w:sz w:val="21"/>
                <w:szCs w:val="21"/>
              </w:rPr>
              <w:t> </w:t>
            </w:r>
          </w:p>
        </w:tc>
        <w:tc>
          <w:tcPr>
            <w:tcW w:w="1016" w:type="dxa"/>
            <w:shd w:val="clear" w:color="000000" w:fill="1F497D"/>
            <w:vAlign w:val="center"/>
            <w:hideMark/>
          </w:tcPr>
          <w:p w14:paraId="2D7C4969" w14:textId="77777777" w:rsidR="00995157" w:rsidRPr="004C1D16" w:rsidRDefault="00995157" w:rsidP="00BE2E68">
            <w:pPr>
              <w:spacing w:before="40" w:after="20"/>
              <w:jc w:val="right"/>
              <w:rPr>
                <w:rFonts w:ascii="Arial Narrow" w:hAnsi="Arial Narrow"/>
                <w:b/>
                <w:bCs/>
                <w:color w:val="FFFFFF"/>
                <w:sz w:val="21"/>
                <w:szCs w:val="21"/>
              </w:rPr>
            </w:pPr>
            <w:r w:rsidRPr="004C1D16">
              <w:rPr>
                <w:rFonts w:ascii="Arial Narrow" w:hAnsi="Arial Narrow"/>
                <w:b/>
                <w:bCs/>
                <w:color w:val="FFFFFF"/>
                <w:sz w:val="21"/>
                <w:szCs w:val="21"/>
              </w:rPr>
              <w:t> </w:t>
            </w:r>
          </w:p>
        </w:tc>
        <w:tc>
          <w:tcPr>
            <w:tcW w:w="1017" w:type="dxa"/>
            <w:shd w:val="clear" w:color="000000" w:fill="1F497D"/>
            <w:vAlign w:val="center"/>
            <w:hideMark/>
          </w:tcPr>
          <w:p w14:paraId="141913F1" w14:textId="77777777" w:rsidR="00995157" w:rsidRPr="004C1D16" w:rsidRDefault="00995157" w:rsidP="00BE2E68">
            <w:pPr>
              <w:spacing w:before="40" w:after="20"/>
              <w:jc w:val="right"/>
              <w:rPr>
                <w:rFonts w:ascii="Arial Narrow" w:hAnsi="Arial Narrow"/>
                <w:b/>
                <w:bCs/>
                <w:color w:val="FFFFFF"/>
                <w:sz w:val="21"/>
                <w:szCs w:val="21"/>
              </w:rPr>
            </w:pPr>
            <w:r w:rsidRPr="004C1D16">
              <w:rPr>
                <w:rFonts w:ascii="Arial Narrow" w:hAnsi="Arial Narrow"/>
                <w:b/>
                <w:bCs/>
                <w:color w:val="FFFFFF"/>
                <w:sz w:val="21"/>
                <w:szCs w:val="21"/>
              </w:rPr>
              <w:t> </w:t>
            </w:r>
          </w:p>
        </w:tc>
        <w:tc>
          <w:tcPr>
            <w:tcW w:w="1016" w:type="dxa"/>
            <w:shd w:val="clear" w:color="000000" w:fill="1F497D"/>
            <w:vAlign w:val="center"/>
            <w:hideMark/>
          </w:tcPr>
          <w:p w14:paraId="211ED361" w14:textId="77777777" w:rsidR="00995157" w:rsidRPr="004C1D16" w:rsidRDefault="00995157" w:rsidP="00BE2E68">
            <w:pPr>
              <w:spacing w:before="40" w:after="20"/>
              <w:jc w:val="right"/>
              <w:rPr>
                <w:rFonts w:ascii="Arial Narrow" w:hAnsi="Arial Narrow"/>
                <w:b/>
                <w:bCs/>
                <w:color w:val="FFFFFF"/>
                <w:sz w:val="21"/>
                <w:szCs w:val="21"/>
              </w:rPr>
            </w:pPr>
            <w:r w:rsidRPr="004C1D16">
              <w:rPr>
                <w:rFonts w:ascii="Arial Narrow" w:hAnsi="Arial Narrow"/>
                <w:b/>
                <w:bCs/>
                <w:color w:val="FFFFFF"/>
                <w:sz w:val="21"/>
                <w:szCs w:val="21"/>
              </w:rPr>
              <w:t> </w:t>
            </w:r>
          </w:p>
        </w:tc>
        <w:tc>
          <w:tcPr>
            <w:tcW w:w="2025" w:type="dxa"/>
            <w:shd w:val="clear" w:color="000000" w:fill="1F497D"/>
            <w:vAlign w:val="center"/>
            <w:hideMark/>
          </w:tcPr>
          <w:p w14:paraId="369FE703" w14:textId="4DF9AC57" w:rsidR="00995157" w:rsidRPr="004C1D16" w:rsidRDefault="00995157" w:rsidP="00424132">
            <w:pPr>
              <w:spacing w:before="40" w:after="20"/>
              <w:jc w:val="center"/>
              <w:rPr>
                <w:rFonts w:ascii="Arial Narrow" w:hAnsi="Arial Narrow"/>
                <w:b/>
                <w:bCs/>
                <w:color w:val="FFFFFF"/>
                <w:sz w:val="21"/>
                <w:szCs w:val="21"/>
              </w:rPr>
            </w:pPr>
          </w:p>
        </w:tc>
      </w:tr>
      <w:tr w:rsidR="00BC199D" w:rsidRPr="004C1D16" w14:paraId="3451E19F" w14:textId="77777777" w:rsidTr="00814A59">
        <w:trPr>
          <w:trHeight w:val="227"/>
        </w:trPr>
        <w:tc>
          <w:tcPr>
            <w:tcW w:w="4058" w:type="dxa"/>
            <w:shd w:val="clear" w:color="auto" w:fill="auto"/>
            <w:vAlign w:val="center"/>
            <w:hideMark/>
          </w:tcPr>
          <w:p w14:paraId="311FA5BF"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Nord-ovest</w:t>
            </w:r>
          </w:p>
        </w:tc>
        <w:tc>
          <w:tcPr>
            <w:tcW w:w="1017" w:type="dxa"/>
            <w:shd w:val="clear" w:color="000000" w:fill="E6E6E6"/>
            <w:vAlign w:val="bottom"/>
            <w:hideMark/>
          </w:tcPr>
          <w:p w14:paraId="26266F19" w14:textId="2D443B8A"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2.810,27</w:t>
            </w:r>
          </w:p>
        </w:tc>
        <w:tc>
          <w:tcPr>
            <w:tcW w:w="1016" w:type="dxa"/>
            <w:shd w:val="clear" w:color="auto" w:fill="auto"/>
            <w:vAlign w:val="bottom"/>
            <w:hideMark/>
          </w:tcPr>
          <w:p w14:paraId="2B80DC56" w14:textId="5B1C1336"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1,0</w:t>
            </w:r>
          </w:p>
        </w:tc>
        <w:tc>
          <w:tcPr>
            <w:tcW w:w="1017" w:type="dxa"/>
            <w:shd w:val="clear" w:color="000000" w:fill="E6E6E6"/>
            <w:vAlign w:val="bottom"/>
            <w:hideMark/>
          </w:tcPr>
          <w:p w14:paraId="0991A94F" w14:textId="153F41ED"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2.523,38</w:t>
            </w:r>
          </w:p>
        </w:tc>
        <w:tc>
          <w:tcPr>
            <w:tcW w:w="1016" w:type="dxa"/>
            <w:shd w:val="clear" w:color="auto" w:fill="auto"/>
            <w:vAlign w:val="bottom"/>
            <w:hideMark/>
          </w:tcPr>
          <w:p w14:paraId="3418FBEA" w14:textId="4F7D338F"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0,9</w:t>
            </w:r>
          </w:p>
        </w:tc>
        <w:tc>
          <w:tcPr>
            <w:tcW w:w="2025" w:type="dxa"/>
            <w:shd w:val="clear" w:color="auto" w:fill="auto"/>
            <w:vAlign w:val="bottom"/>
          </w:tcPr>
          <w:p w14:paraId="3D850D09" w14:textId="7C133DB4"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5839085C" w14:textId="77777777" w:rsidTr="00814A59">
        <w:trPr>
          <w:trHeight w:val="227"/>
        </w:trPr>
        <w:tc>
          <w:tcPr>
            <w:tcW w:w="4058" w:type="dxa"/>
            <w:shd w:val="clear" w:color="auto" w:fill="auto"/>
            <w:vAlign w:val="center"/>
            <w:hideMark/>
          </w:tcPr>
          <w:p w14:paraId="444951F3"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Nord-est</w:t>
            </w:r>
          </w:p>
        </w:tc>
        <w:tc>
          <w:tcPr>
            <w:tcW w:w="1017" w:type="dxa"/>
            <w:shd w:val="clear" w:color="000000" w:fill="E6E6E6"/>
            <w:vAlign w:val="bottom"/>
            <w:hideMark/>
          </w:tcPr>
          <w:p w14:paraId="4BD9B22A" w14:textId="7FFBD65E"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2.789,97</w:t>
            </w:r>
          </w:p>
        </w:tc>
        <w:tc>
          <w:tcPr>
            <w:tcW w:w="1016" w:type="dxa"/>
            <w:shd w:val="clear" w:color="auto" w:fill="auto"/>
            <w:vAlign w:val="bottom"/>
            <w:hideMark/>
          </w:tcPr>
          <w:p w14:paraId="7994DBC2" w14:textId="0C50397C"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1,0</w:t>
            </w:r>
          </w:p>
        </w:tc>
        <w:tc>
          <w:tcPr>
            <w:tcW w:w="1017" w:type="dxa"/>
            <w:shd w:val="clear" w:color="000000" w:fill="E6E6E6"/>
            <w:vAlign w:val="bottom"/>
            <w:hideMark/>
          </w:tcPr>
          <w:p w14:paraId="5EBF8DE5" w14:textId="36D0E07D"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2.525,33</w:t>
            </w:r>
          </w:p>
        </w:tc>
        <w:tc>
          <w:tcPr>
            <w:tcW w:w="1016" w:type="dxa"/>
            <w:shd w:val="clear" w:color="auto" w:fill="auto"/>
            <w:vAlign w:val="bottom"/>
            <w:hideMark/>
          </w:tcPr>
          <w:p w14:paraId="75B38419" w14:textId="5A551F97"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1,1</w:t>
            </w:r>
          </w:p>
        </w:tc>
        <w:tc>
          <w:tcPr>
            <w:tcW w:w="2025" w:type="dxa"/>
            <w:shd w:val="clear" w:color="auto" w:fill="auto"/>
            <w:vAlign w:val="bottom"/>
          </w:tcPr>
          <w:p w14:paraId="02DFA13B" w14:textId="09332A25"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0A8F0457" w14:textId="77777777" w:rsidTr="00814A59">
        <w:trPr>
          <w:trHeight w:val="227"/>
        </w:trPr>
        <w:tc>
          <w:tcPr>
            <w:tcW w:w="4058" w:type="dxa"/>
            <w:shd w:val="clear" w:color="auto" w:fill="auto"/>
            <w:vAlign w:val="center"/>
            <w:hideMark/>
          </w:tcPr>
          <w:p w14:paraId="1F02868C"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Centro</w:t>
            </w:r>
          </w:p>
        </w:tc>
        <w:tc>
          <w:tcPr>
            <w:tcW w:w="1017" w:type="dxa"/>
            <w:shd w:val="clear" w:color="000000" w:fill="E6E6E6"/>
            <w:vAlign w:val="bottom"/>
            <w:hideMark/>
          </w:tcPr>
          <w:p w14:paraId="3EF05A2A" w14:textId="05AA5615"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2.754,12</w:t>
            </w:r>
          </w:p>
        </w:tc>
        <w:tc>
          <w:tcPr>
            <w:tcW w:w="1016" w:type="dxa"/>
            <w:shd w:val="clear" w:color="auto" w:fill="auto"/>
            <w:vAlign w:val="bottom"/>
            <w:hideMark/>
          </w:tcPr>
          <w:p w14:paraId="25BFC4AB" w14:textId="25D7546B"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1,0</w:t>
            </w:r>
          </w:p>
        </w:tc>
        <w:tc>
          <w:tcPr>
            <w:tcW w:w="1017" w:type="dxa"/>
            <w:shd w:val="clear" w:color="000000" w:fill="E6E6E6"/>
            <w:vAlign w:val="bottom"/>
            <w:hideMark/>
          </w:tcPr>
          <w:p w14:paraId="48E88B91" w14:textId="0640E884"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2.510,51</w:t>
            </w:r>
          </w:p>
        </w:tc>
        <w:tc>
          <w:tcPr>
            <w:tcW w:w="1016" w:type="dxa"/>
            <w:shd w:val="clear" w:color="auto" w:fill="auto"/>
            <w:vAlign w:val="bottom"/>
            <w:hideMark/>
          </w:tcPr>
          <w:p w14:paraId="1C3F2367" w14:textId="2AA54B74"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0,8</w:t>
            </w:r>
          </w:p>
        </w:tc>
        <w:tc>
          <w:tcPr>
            <w:tcW w:w="2025" w:type="dxa"/>
            <w:shd w:val="clear" w:color="auto" w:fill="auto"/>
            <w:vAlign w:val="bottom"/>
          </w:tcPr>
          <w:p w14:paraId="3D3DE535" w14:textId="0AE48DF5"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7C3290EA" w14:textId="77777777" w:rsidTr="00814A59">
        <w:trPr>
          <w:trHeight w:val="227"/>
        </w:trPr>
        <w:tc>
          <w:tcPr>
            <w:tcW w:w="4058" w:type="dxa"/>
            <w:shd w:val="clear" w:color="auto" w:fill="auto"/>
            <w:vAlign w:val="center"/>
            <w:hideMark/>
          </w:tcPr>
          <w:p w14:paraId="2BA6282B"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Sud</w:t>
            </w:r>
          </w:p>
        </w:tc>
        <w:tc>
          <w:tcPr>
            <w:tcW w:w="1017" w:type="dxa"/>
            <w:shd w:val="clear" w:color="000000" w:fill="E6E6E6"/>
            <w:vAlign w:val="bottom"/>
            <w:hideMark/>
          </w:tcPr>
          <w:p w14:paraId="205FB3B1" w14:textId="14A6DB13"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2.067,50</w:t>
            </w:r>
          </w:p>
        </w:tc>
        <w:tc>
          <w:tcPr>
            <w:tcW w:w="1016" w:type="dxa"/>
            <w:shd w:val="clear" w:color="auto" w:fill="auto"/>
            <w:vAlign w:val="bottom"/>
            <w:hideMark/>
          </w:tcPr>
          <w:p w14:paraId="127D5E60" w14:textId="0BA4599E"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1017" w:type="dxa"/>
            <w:shd w:val="clear" w:color="000000" w:fill="E6E6E6"/>
            <w:vAlign w:val="bottom"/>
            <w:hideMark/>
          </w:tcPr>
          <w:p w14:paraId="6E9A50E1" w14:textId="0324BFE9"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1.898,09</w:t>
            </w:r>
          </w:p>
        </w:tc>
        <w:tc>
          <w:tcPr>
            <w:tcW w:w="1016" w:type="dxa"/>
            <w:shd w:val="clear" w:color="auto" w:fill="auto"/>
            <w:vAlign w:val="bottom"/>
            <w:hideMark/>
          </w:tcPr>
          <w:p w14:paraId="311DB6EF" w14:textId="5FAADBA0"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2025" w:type="dxa"/>
            <w:shd w:val="clear" w:color="auto" w:fill="auto"/>
            <w:vAlign w:val="bottom"/>
          </w:tcPr>
          <w:p w14:paraId="5BFFB794" w14:textId="7D26B289"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09FB0058" w14:textId="77777777" w:rsidTr="00814A59">
        <w:trPr>
          <w:trHeight w:val="227"/>
        </w:trPr>
        <w:tc>
          <w:tcPr>
            <w:tcW w:w="4058" w:type="dxa"/>
            <w:shd w:val="clear" w:color="auto" w:fill="auto"/>
            <w:vAlign w:val="center"/>
            <w:hideMark/>
          </w:tcPr>
          <w:p w14:paraId="3AEE4D48"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Isole</w:t>
            </w:r>
          </w:p>
        </w:tc>
        <w:tc>
          <w:tcPr>
            <w:tcW w:w="1017" w:type="dxa"/>
            <w:shd w:val="clear" w:color="000000" w:fill="E6E6E6"/>
            <w:vAlign w:val="bottom"/>
            <w:hideMark/>
          </w:tcPr>
          <w:p w14:paraId="631788C3" w14:textId="40FF060B"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2.070,78</w:t>
            </w:r>
          </w:p>
        </w:tc>
        <w:tc>
          <w:tcPr>
            <w:tcW w:w="1016" w:type="dxa"/>
            <w:shd w:val="clear" w:color="auto" w:fill="auto"/>
            <w:vAlign w:val="bottom"/>
            <w:hideMark/>
          </w:tcPr>
          <w:p w14:paraId="18E6973B" w14:textId="60567804"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1,7</w:t>
            </w:r>
          </w:p>
        </w:tc>
        <w:tc>
          <w:tcPr>
            <w:tcW w:w="1017" w:type="dxa"/>
            <w:shd w:val="clear" w:color="000000" w:fill="E6E6E6"/>
            <w:vAlign w:val="bottom"/>
            <w:hideMark/>
          </w:tcPr>
          <w:p w14:paraId="6144659C" w14:textId="33E30AB6"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1.949,00</w:t>
            </w:r>
          </w:p>
        </w:tc>
        <w:tc>
          <w:tcPr>
            <w:tcW w:w="1016" w:type="dxa"/>
            <w:shd w:val="clear" w:color="auto" w:fill="auto"/>
            <w:vAlign w:val="bottom"/>
            <w:hideMark/>
          </w:tcPr>
          <w:p w14:paraId="17FAEDD6" w14:textId="65D7F5E8"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1,7</w:t>
            </w:r>
          </w:p>
        </w:tc>
        <w:tc>
          <w:tcPr>
            <w:tcW w:w="2025" w:type="dxa"/>
            <w:shd w:val="clear" w:color="auto" w:fill="auto"/>
            <w:vAlign w:val="bottom"/>
          </w:tcPr>
          <w:p w14:paraId="1082EE41" w14:textId="509C3D5C"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B6DA6" w:rsidRPr="004C1D16" w14:paraId="148A987A" w14:textId="77777777" w:rsidTr="00814A59">
        <w:trPr>
          <w:trHeight w:val="227"/>
        </w:trPr>
        <w:tc>
          <w:tcPr>
            <w:tcW w:w="4058" w:type="dxa"/>
            <w:shd w:val="clear" w:color="000000" w:fill="1F497D"/>
            <w:vAlign w:val="center"/>
            <w:hideMark/>
          </w:tcPr>
          <w:p w14:paraId="7D48E371" w14:textId="77777777" w:rsidR="00BB6DA6" w:rsidRPr="004C1D16" w:rsidRDefault="00BB6DA6" w:rsidP="00BB6DA6">
            <w:pPr>
              <w:spacing w:before="40" w:after="20"/>
              <w:rPr>
                <w:rFonts w:ascii="Arial Narrow" w:hAnsi="Arial Narrow"/>
                <w:b/>
                <w:bCs/>
                <w:color w:val="FFFFFF"/>
                <w:sz w:val="21"/>
                <w:szCs w:val="21"/>
              </w:rPr>
            </w:pPr>
            <w:r w:rsidRPr="004C1D16">
              <w:rPr>
                <w:rFonts w:ascii="Arial Narrow" w:hAnsi="Arial Narrow"/>
                <w:b/>
                <w:bCs/>
                <w:color w:val="FFFFFF"/>
                <w:sz w:val="21"/>
                <w:szCs w:val="21"/>
              </w:rPr>
              <w:t>Regione</w:t>
            </w:r>
          </w:p>
        </w:tc>
        <w:tc>
          <w:tcPr>
            <w:tcW w:w="1017" w:type="dxa"/>
            <w:shd w:val="clear" w:color="000000" w:fill="1F497D"/>
            <w:vAlign w:val="center"/>
            <w:hideMark/>
          </w:tcPr>
          <w:p w14:paraId="704A5E15" w14:textId="27912B1B" w:rsidR="00BB6DA6" w:rsidRPr="004C1D16" w:rsidRDefault="00BB6DA6" w:rsidP="00BB6DA6">
            <w:pPr>
              <w:spacing w:before="40" w:after="20"/>
              <w:jc w:val="right"/>
              <w:rPr>
                <w:rFonts w:ascii="Arial Narrow" w:hAnsi="Arial Narrow"/>
                <w:b/>
                <w:bCs/>
                <w:color w:val="FFFFFF"/>
                <w:sz w:val="21"/>
                <w:szCs w:val="21"/>
              </w:rPr>
            </w:pPr>
          </w:p>
        </w:tc>
        <w:tc>
          <w:tcPr>
            <w:tcW w:w="1016" w:type="dxa"/>
            <w:shd w:val="clear" w:color="000000" w:fill="1F497D"/>
            <w:vAlign w:val="center"/>
            <w:hideMark/>
          </w:tcPr>
          <w:p w14:paraId="70084B61" w14:textId="072F8015" w:rsidR="00BB6DA6" w:rsidRPr="004C1D16" w:rsidRDefault="00BB6DA6" w:rsidP="00BB6DA6">
            <w:pPr>
              <w:spacing w:before="40" w:after="20"/>
              <w:jc w:val="center"/>
              <w:rPr>
                <w:rFonts w:ascii="Arial Narrow" w:hAnsi="Arial Narrow"/>
                <w:b/>
                <w:bCs/>
                <w:color w:val="FFFFFF"/>
                <w:sz w:val="21"/>
                <w:szCs w:val="21"/>
              </w:rPr>
            </w:pPr>
          </w:p>
        </w:tc>
        <w:tc>
          <w:tcPr>
            <w:tcW w:w="1017" w:type="dxa"/>
            <w:shd w:val="clear" w:color="000000" w:fill="1F497D"/>
            <w:vAlign w:val="center"/>
            <w:hideMark/>
          </w:tcPr>
          <w:p w14:paraId="0940BCE8" w14:textId="6C328DBF" w:rsidR="00BB6DA6" w:rsidRPr="004C1D16" w:rsidRDefault="00BB6DA6" w:rsidP="00BB6DA6">
            <w:pPr>
              <w:spacing w:before="40" w:after="20"/>
              <w:jc w:val="center"/>
              <w:rPr>
                <w:rFonts w:ascii="Arial Narrow" w:hAnsi="Arial Narrow"/>
                <w:b/>
                <w:bCs/>
                <w:color w:val="FFFFFF"/>
                <w:sz w:val="21"/>
                <w:szCs w:val="21"/>
                <w:highlight w:val="yellow"/>
              </w:rPr>
            </w:pPr>
          </w:p>
        </w:tc>
        <w:tc>
          <w:tcPr>
            <w:tcW w:w="1016" w:type="dxa"/>
            <w:shd w:val="clear" w:color="000000" w:fill="1F497D"/>
            <w:vAlign w:val="center"/>
            <w:hideMark/>
          </w:tcPr>
          <w:p w14:paraId="139BBCB7" w14:textId="6A74D883" w:rsidR="00BB6DA6" w:rsidRPr="004C1D16" w:rsidRDefault="00BB6DA6" w:rsidP="00BB6DA6">
            <w:pPr>
              <w:spacing w:before="40" w:after="20"/>
              <w:jc w:val="center"/>
              <w:rPr>
                <w:rFonts w:ascii="Arial Narrow" w:hAnsi="Arial Narrow"/>
                <w:b/>
                <w:bCs/>
                <w:color w:val="FFFFFF"/>
                <w:sz w:val="21"/>
                <w:szCs w:val="21"/>
                <w:highlight w:val="yellow"/>
              </w:rPr>
            </w:pPr>
          </w:p>
        </w:tc>
        <w:tc>
          <w:tcPr>
            <w:tcW w:w="2025" w:type="dxa"/>
            <w:shd w:val="clear" w:color="000000" w:fill="1F497D"/>
            <w:vAlign w:val="bottom"/>
          </w:tcPr>
          <w:p w14:paraId="58A3874E" w14:textId="10592283" w:rsidR="00BB6DA6" w:rsidRPr="004C1D16" w:rsidRDefault="00BB6DA6" w:rsidP="00814A59">
            <w:pPr>
              <w:spacing w:before="40" w:after="20"/>
              <w:jc w:val="center"/>
              <w:rPr>
                <w:rFonts w:ascii="Arial Narrow" w:hAnsi="Arial Narrow"/>
                <w:b/>
                <w:bCs/>
                <w:color w:val="FFFFFF"/>
                <w:sz w:val="21"/>
                <w:szCs w:val="21"/>
              </w:rPr>
            </w:pPr>
          </w:p>
        </w:tc>
      </w:tr>
      <w:tr w:rsidR="00BC199D" w:rsidRPr="004C1D16" w14:paraId="7F8905B6" w14:textId="77777777" w:rsidTr="00814A59">
        <w:trPr>
          <w:trHeight w:val="227"/>
        </w:trPr>
        <w:tc>
          <w:tcPr>
            <w:tcW w:w="4058" w:type="dxa"/>
            <w:shd w:val="clear" w:color="auto" w:fill="auto"/>
            <w:vAlign w:val="center"/>
            <w:hideMark/>
          </w:tcPr>
          <w:p w14:paraId="24082B55"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Piemonte</w:t>
            </w:r>
          </w:p>
        </w:tc>
        <w:tc>
          <w:tcPr>
            <w:tcW w:w="1017" w:type="dxa"/>
            <w:shd w:val="clear" w:color="000000" w:fill="E6E6E6"/>
            <w:vAlign w:val="bottom"/>
            <w:hideMark/>
          </w:tcPr>
          <w:p w14:paraId="68731965" w14:textId="1AEBC765"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2.583,22</w:t>
            </w:r>
          </w:p>
        </w:tc>
        <w:tc>
          <w:tcPr>
            <w:tcW w:w="1016" w:type="dxa"/>
            <w:shd w:val="clear" w:color="auto" w:fill="auto"/>
            <w:vAlign w:val="bottom"/>
            <w:hideMark/>
          </w:tcPr>
          <w:p w14:paraId="22A21667" w14:textId="465CC501"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2,2</w:t>
            </w:r>
          </w:p>
        </w:tc>
        <w:tc>
          <w:tcPr>
            <w:tcW w:w="1017" w:type="dxa"/>
            <w:shd w:val="clear" w:color="000000" w:fill="E6E6E6"/>
            <w:vAlign w:val="bottom"/>
            <w:hideMark/>
          </w:tcPr>
          <w:p w14:paraId="3F4237AC" w14:textId="59FB0531"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2.259,90</w:t>
            </w:r>
          </w:p>
        </w:tc>
        <w:tc>
          <w:tcPr>
            <w:tcW w:w="1016" w:type="dxa"/>
            <w:shd w:val="clear" w:color="auto" w:fill="auto"/>
            <w:vAlign w:val="bottom"/>
            <w:hideMark/>
          </w:tcPr>
          <w:p w14:paraId="6A5E9B8C" w14:textId="720EC026"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1,4</w:t>
            </w:r>
          </w:p>
        </w:tc>
        <w:tc>
          <w:tcPr>
            <w:tcW w:w="2025" w:type="dxa"/>
            <w:shd w:val="clear" w:color="auto" w:fill="auto"/>
            <w:vAlign w:val="bottom"/>
          </w:tcPr>
          <w:p w14:paraId="4A823070" w14:textId="14EADB8D"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24541C8A" w14:textId="77777777" w:rsidTr="00814A59">
        <w:trPr>
          <w:trHeight w:val="227"/>
        </w:trPr>
        <w:tc>
          <w:tcPr>
            <w:tcW w:w="4058" w:type="dxa"/>
            <w:shd w:val="clear" w:color="auto" w:fill="auto"/>
            <w:vAlign w:val="center"/>
            <w:hideMark/>
          </w:tcPr>
          <w:p w14:paraId="46AD0CD4"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Valle d’Aosta/ Vallée d’Aoste</w:t>
            </w:r>
          </w:p>
        </w:tc>
        <w:tc>
          <w:tcPr>
            <w:tcW w:w="1017" w:type="dxa"/>
            <w:shd w:val="clear" w:color="000000" w:fill="E6E6E6"/>
            <w:vAlign w:val="bottom"/>
            <w:hideMark/>
          </w:tcPr>
          <w:p w14:paraId="77D208A3" w14:textId="15EF943A"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2.805,50</w:t>
            </w:r>
          </w:p>
        </w:tc>
        <w:tc>
          <w:tcPr>
            <w:tcW w:w="1016" w:type="dxa"/>
            <w:shd w:val="clear" w:color="auto" w:fill="auto"/>
            <w:vAlign w:val="bottom"/>
            <w:hideMark/>
          </w:tcPr>
          <w:p w14:paraId="4FA25D6F" w14:textId="25A542F2"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3,1</w:t>
            </w:r>
          </w:p>
        </w:tc>
        <w:tc>
          <w:tcPr>
            <w:tcW w:w="1017" w:type="dxa"/>
            <w:shd w:val="clear" w:color="000000" w:fill="E6E6E6"/>
            <w:vAlign w:val="bottom"/>
            <w:hideMark/>
          </w:tcPr>
          <w:p w14:paraId="22E74DB5" w14:textId="0E03147A"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2.527,99</w:t>
            </w:r>
          </w:p>
        </w:tc>
        <w:tc>
          <w:tcPr>
            <w:tcW w:w="1016" w:type="dxa"/>
            <w:shd w:val="clear" w:color="auto" w:fill="auto"/>
            <w:vAlign w:val="bottom"/>
            <w:hideMark/>
          </w:tcPr>
          <w:p w14:paraId="1E9CDF30" w14:textId="4041C377"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3,1</w:t>
            </w:r>
          </w:p>
        </w:tc>
        <w:tc>
          <w:tcPr>
            <w:tcW w:w="2025" w:type="dxa"/>
            <w:shd w:val="clear" w:color="auto" w:fill="auto"/>
            <w:vAlign w:val="bottom"/>
          </w:tcPr>
          <w:p w14:paraId="032B0464" w14:textId="10F55DA2"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1295661E" w14:textId="77777777" w:rsidTr="00814A59">
        <w:trPr>
          <w:trHeight w:val="227"/>
        </w:trPr>
        <w:tc>
          <w:tcPr>
            <w:tcW w:w="4058" w:type="dxa"/>
            <w:shd w:val="clear" w:color="auto" w:fill="auto"/>
            <w:vAlign w:val="center"/>
            <w:hideMark/>
          </w:tcPr>
          <w:p w14:paraId="49D7940E"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Liguria</w:t>
            </w:r>
          </w:p>
        </w:tc>
        <w:tc>
          <w:tcPr>
            <w:tcW w:w="1017" w:type="dxa"/>
            <w:shd w:val="clear" w:color="000000" w:fill="E6E6E6"/>
            <w:vAlign w:val="bottom"/>
            <w:hideMark/>
          </w:tcPr>
          <w:p w14:paraId="6E57B739" w14:textId="113801EA"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2.499,63</w:t>
            </w:r>
          </w:p>
        </w:tc>
        <w:tc>
          <w:tcPr>
            <w:tcW w:w="1016" w:type="dxa"/>
            <w:shd w:val="clear" w:color="auto" w:fill="auto"/>
            <w:vAlign w:val="bottom"/>
            <w:hideMark/>
          </w:tcPr>
          <w:p w14:paraId="361CF341" w14:textId="3021D9E4"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2,5</w:t>
            </w:r>
          </w:p>
        </w:tc>
        <w:tc>
          <w:tcPr>
            <w:tcW w:w="1017" w:type="dxa"/>
            <w:shd w:val="clear" w:color="000000" w:fill="E6E6E6"/>
            <w:vAlign w:val="bottom"/>
            <w:hideMark/>
          </w:tcPr>
          <w:p w14:paraId="0FACCD86" w14:textId="27354079"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2.323,81</w:t>
            </w:r>
          </w:p>
        </w:tc>
        <w:tc>
          <w:tcPr>
            <w:tcW w:w="1016" w:type="dxa"/>
            <w:shd w:val="clear" w:color="auto" w:fill="auto"/>
            <w:vAlign w:val="bottom"/>
            <w:hideMark/>
          </w:tcPr>
          <w:p w14:paraId="7355370A" w14:textId="12DE6A8C"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2,2</w:t>
            </w:r>
          </w:p>
        </w:tc>
        <w:tc>
          <w:tcPr>
            <w:tcW w:w="2025" w:type="dxa"/>
            <w:shd w:val="clear" w:color="auto" w:fill="auto"/>
            <w:vAlign w:val="bottom"/>
          </w:tcPr>
          <w:p w14:paraId="272D5EAA" w14:textId="140F8A4D"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124DBDF4" w14:textId="77777777" w:rsidTr="00814A59">
        <w:trPr>
          <w:trHeight w:val="227"/>
        </w:trPr>
        <w:tc>
          <w:tcPr>
            <w:tcW w:w="4058" w:type="dxa"/>
            <w:shd w:val="clear" w:color="auto" w:fill="auto"/>
            <w:vAlign w:val="center"/>
            <w:hideMark/>
          </w:tcPr>
          <w:p w14:paraId="087B55E2"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Lombardia</w:t>
            </w:r>
          </w:p>
        </w:tc>
        <w:tc>
          <w:tcPr>
            <w:tcW w:w="1017" w:type="dxa"/>
            <w:shd w:val="clear" w:color="000000" w:fill="E6E6E6"/>
            <w:vAlign w:val="bottom"/>
            <w:hideMark/>
          </w:tcPr>
          <w:p w14:paraId="7E9A6F6D" w14:textId="2398926F"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2.965,10</w:t>
            </w:r>
          </w:p>
        </w:tc>
        <w:tc>
          <w:tcPr>
            <w:tcW w:w="1016" w:type="dxa"/>
            <w:shd w:val="clear" w:color="auto" w:fill="auto"/>
            <w:vAlign w:val="bottom"/>
            <w:hideMark/>
          </w:tcPr>
          <w:p w14:paraId="05B1AEDF" w14:textId="57CBE1B1"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1017" w:type="dxa"/>
            <w:shd w:val="clear" w:color="000000" w:fill="E6E6E6"/>
            <w:vAlign w:val="bottom"/>
            <w:hideMark/>
          </w:tcPr>
          <w:p w14:paraId="0C8E67AC" w14:textId="40F7259E"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2.674,11</w:t>
            </w:r>
          </w:p>
        </w:tc>
        <w:tc>
          <w:tcPr>
            <w:tcW w:w="1016" w:type="dxa"/>
            <w:shd w:val="clear" w:color="auto" w:fill="auto"/>
            <w:vAlign w:val="bottom"/>
            <w:hideMark/>
          </w:tcPr>
          <w:p w14:paraId="4E2BEFF9" w14:textId="14033368"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2025" w:type="dxa"/>
            <w:shd w:val="clear" w:color="auto" w:fill="auto"/>
            <w:vAlign w:val="bottom"/>
          </w:tcPr>
          <w:p w14:paraId="06A21008" w14:textId="3015C62D"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55C79AAD" w14:textId="77777777" w:rsidTr="00814A59">
        <w:trPr>
          <w:trHeight w:val="227"/>
        </w:trPr>
        <w:tc>
          <w:tcPr>
            <w:tcW w:w="4058" w:type="dxa"/>
            <w:shd w:val="clear" w:color="auto" w:fill="auto"/>
            <w:vAlign w:val="center"/>
            <w:hideMark/>
          </w:tcPr>
          <w:p w14:paraId="4B7CF236"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Trentino-Alto Adige/ Südtirol</w:t>
            </w:r>
          </w:p>
        </w:tc>
        <w:tc>
          <w:tcPr>
            <w:tcW w:w="1017" w:type="dxa"/>
            <w:shd w:val="clear" w:color="000000" w:fill="E6E6E6"/>
            <w:vAlign w:val="bottom"/>
            <w:hideMark/>
          </w:tcPr>
          <w:p w14:paraId="1364E0C7" w14:textId="233586BC"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2.991,73</w:t>
            </w:r>
          </w:p>
        </w:tc>
        <w:tc>
          <w:tcPr>
            <w:tcW w:w="1016" w:type="dxa"/>
            <w:shd w:val="clear" w:color="auto" w:fill="auto"/>
            <w:vAlign w:val="bottom"/>
            <w:hideMark/>
          </w:tcPr>
          <w:p w14:paraId="200FFFFF" w14:textId="319B025B"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1,5</w:t>
            </w:r>
          </w:p>
        </w:tc>
        <w:tc>
          <w:tcPr>
            <w:tcW w:w="1017" w:type="dxa"/>
            <w:shd w:val="clear" w:color="000000" w:fill="E6E6E6"/>
            <w:vAlign w:val="bottom"/>
            <w:hideMark/>
          </w:tcPr>
          <w:p w14:paraId="20DC9AFA" w14:textId="646AF90F"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2.741,83</w:t>
            </w:r>
          </w:p>
        </w:tc>
        <w:tc>
          <w:tcPr>
            <w:tcW w:w="1016" w:type="dxa"/>
            <w:shd w:val="clear" w:color="auto" w:fill="auto"/>
            <w:vAlign w:val="bottom"/>
            <w:hideMark/>
          </w:tcPr>
          <w:p w14:paraId="4A322B48" w14:textId="0D8C76CF"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1,9</w:t>
            </w:r>
          </w:p>
        </w:tc>
        <w:tc>
          <w:tcPr>
            <w:tcW w:w="2025" w:type="dxa"/>
            <w:shd w:val="clear" w:color="auto" w:fill="auto"/>
            <w:vAlign w:val="bottom"/>
          </w:tcPr>
          <w:p w14:paraId="01B3476C" w14:textId="4E607A46"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6733E3" w:rsidRPr="004C1D16" w14:paraId="5C014125" w14:textId="77777777" w:rsidTr="00814A59">
        <w:trPr>
          <w:trHeight w:val="227"/>
        </w:trPr>
        <w:tc>
          <w:tcPr>
            <w:tcW w:w="4058" w:type="dxa"/>
            <w:shd w:val="clear" w:color="auto" w:fill="auto"/>
            <w:vAlign w:val="center"/>
            <w:hideMark/>
          </w:tcPr>
          <w:p w14:paraId="6585D1A3" w14:textId="77777777" w:rsidR="006733E3" w:rsidRPr="004C1D16" w:rsidRDefault="006733E3" w:rsidP="006733E3">
            <w:pPr>
              <w:spacing w:before="40" w:after="20"/>
              <w:rPr>
                <w:rFonts w:ascii="Arial Narrow" w:hAnsi="Arial Narrow"/>
                <w:i/>
                <w:iCs/>
                <w:color w:val="1F497D"/>
                <w:sz w:val="21"/>
                <w:szCs w:val="21"/>
              </w:rPr>
            </w:pPr>
            <w:r w:rsidRPr="004C1D16">
              <w:rPr>
                <w:rFonts w:ascii="Arial Narrow" w:hAnsi="Arial Narrow"/>
                <w:i/>
                <w:iCs/>
                <w:color w:val="1F497D"/>
                <w:sz w:val="21"/>
                <w:szCs w:val="21"/>
              </w:rPr>
              <w:t>- Bolzano/ Bozen</w:t>
            </w:r>
          </w:p>
        </w:tc>
        <w:tc>
          <w:tcPr>
            <w:tcW w:w="1017" w:type="dxa"/>
            <w:shd w:val="clear" w:color="000000" w:fill="E6E6E6"/>
            <w:vAlign w:val="bottom"/>
            <w:hideMark/>
          </w:tcPr>
          <w:p w14:paraId="59C8558C" w14:textId="41094263" w:rsidR="006733E3" w:rsidRPr="004C1D16" w:rsidRDefault="006733E3" w:rsidP="006733E3">
            <w:pPr>
              <w:spacing w:before="40" w:after="20"/>
              <w:jc w:val="right"/>
              <w:rPr>
                <w:rFonts w:ascii="Arial Narrow" w:hAnsi="Arial Narrow"/>
                <w:i/>
                <w:iCs/>
                <w:color w:val="1F497D"/>
                <w:sz w:val="21"/>
                <w:szCs w:val="21"/>
              </w:rPr>
            </w:pPr>
            <w:r w:rsidRPr="004C1D16">
              <w:rPr>
                <w:rFonts w:ascii="Arial Narrow" w:hAnsi="Arial Narrow"/>
                <w:i/>
                <w:color w:val="1F497D"/>
                <w:sz w:val="21"/>
                <w:szCs w:val="21"/>
              </w:rPr>
              <w:t>3.516,89</w:t>
            </w:r>
          </w:p>
        </w:tc>
        <w:tc>
          <w:tcPr>
            <w:tcW w:w="1016" w:type="dxa"/>
            <w:shd w:val="clear" w:color="auto" w:fill="auto"/>
            <w:vAlign w:val="bottom"/>
            <w:hideMark/>
          </w:tcPr>
          <w:p w14:paraId="7586B4F2" w14:textId="31983383" w:rsidR="006733E3" w:rsidRPr="004C1D16" w:rsidRDefault="006733E3" w:rsidP="006733E3">
            <w:pPr>
              <w:spacing w:before="40" w:after="20"/>
              <w:jc w:val="center"/>
              <w:rPr>
                <w:rFonts w:ascii="Arial Narrow" w:hAnsi="Arial Narrow"/>
                <w:i/>
                <w:iCs/>
                <w:color w:val="1F497D"/>
                <w:sz w:val="21"/>
                <w:szCs w:val="21"/>
              </w:rPr>
            </w:pPr>
            <w:r w:rsidRPr="004C1D16">
              <w:rPr>
                <w:rFonts w:ascii="Arial Narrow" w:hAnsi="Arial Narrow"/>
                <w:i/>
                <w:color w:val="1F497D"/>
                <w:sz w:val="21"/>
                <w:szCs w:val="21"/>
              </w:rPr>
              <w:t>2,1</w:t>
            </w:r>
          </w:p>
        </w:tc>
        <w:tc>
          <w:tcPr>
            <w:tcW w:w="1017" w:type="dxa"/>
            <w:shd w:val="clear" w:color="000000" w:fill="E6E6E6"/>
            <w:vAlign w:val="bottom"/>
            <w:hideMark/>
          </w:tcPr>
          <w:p w14:paraId="4BD8A6FE" w14:textId="7321C16D" w:rsidR="006733E3" w:rsidRPr="004C1D16" w:rsidRDefault="006733E3" w:rsidP="006733E3">
            <w:pPr>
              <w:spacing w:before="40" w:after="20"/>
              <w:jc w:val="right"/>
              <w:rPr>
                <w:rFonts w:ascii="Arial Narrow" w:hAnsi="Arial Narrow"/>
                <w:i/>
                <w:color w:val="1F497D"/>
                <w:sz w:val="21"/>
                <w:szCs w:val="21"/>
              </w:rPr>
            </w:pPr>
            <w:r w:rsidRPr="004C1D16">
              <w:rPr>
                <w:rFonts w:ascii="Arial Narrow" w:hAnsi="Arial Narrow"/>
                <w:i/>
                <w:color w:val="1F497D"/>
                <w:sz w:val="21"/>
                <w:szCs w:val="21"/>
              </w:rPr>
              <w:t>3</w:t>
            </w:r>
            <w:r w:rsidR="00874C43" w:rsidRPr="004C1D16">
              <w:rPr>
                <w:rFonts w:ascii="Arial Narrow" w:hAnsi="Arial Narrow"/>
                <w:i/>
                <w:color w:val="1F497D"/>
                <w:sz w:val="21"/>
                <w:szCs w:val="21"/>
              </w:rPr>
              <w:t>.</w:t>
            </w:r>
            <w:r w:rsidRPr="004C1D16">
              <w:rPr>
                <w:rFonts w:ascii="Arial Narrow" w:hAnsi="Arial Narrow"/>
                <w:i/>
                <w:color w:val="1F497D"/>
                <w:sz w:val="21"/>
                <w:szCs w:val="21"/>
              </w:rPr>
              <w:t>040,44</w:t>
            </w:r>
          </w:p>
        </w:tc>
        <w:tc>
          <w:tcPr>
            <w:tcW w:w="1016" w:type="dxa"/>
            <w:shd w:val="clear" w:color="auto" w:fill="auto"/>
            <w:vAlign w:val="bottom"/>
            <w:hideMark/>
          </w:tcPr>
          <w:p w14:paraId="518B3A82" w14:textId="0C4F7992" w:rsidR="006733E3" w:rsidRPr="004C1D16" w:rsidRDefault="006733E3" w:rsidP="006733E3">
            <w:pPr>
              <w:spacing w:before="40" w:after="20"/>
              <w:jc w:val="center"/>
              <w:rPr>
                <w:rFonts w:ascii="Arial Narrow" w:hAnsi="Arial Narrow"/>
                <w:i/>
                <w:color w:val="1F497D"/>
                <w:sz w:val="21"/>
                <w:szCs w:val="21"/>
              </w:rPr>
            </w:pPr>
            <w:r w:rsidRPr="004C1D16">
              <w:rPr>
                <w:rFonts w:ascii="Arial Narrow" w:hAnsi="Arial Narrow"/>
                <w:i/>
                <w:color w:val="1F497D"/>
                <w:sz w:val="21"/>
                <w:szCs w:val="21"/>
              </w:rPr>
              <w:t>2,3</w:t>
            </w:r>
          </w:p>
        </w:tc>
        <w:tc>
          <w:tcPr>
            <w:tcW w:w="2025" w:type="dxa"/>
            <w:shd w:val="clear" w:color="auto" w:fill="auto"/>
            <w:vAlign w:val="bottom"/>
          </w:tcPr>
          <w:p w14:paraId="65507E11" w14:textId="38C2CEF6" w:rsidR="006733E3" w:rsidRPr="004C1D16" w:rsidRDefault="006733E3" w:rsidP="00814A59">
            <w:pPr>
              <w:spacing w:before="40" w:after="20"/>
              <w:jc w:val="center"/>
              <w:rPr>
                <w:rFonts w:ascii="Arial Narrow" w:hAnsi="Arial Narrow"/>
                <w:i/>
                <w:iCs/>
                <w:color w:val="1F497D"/>
                <w:sz w:val="21"/>
                <w:szCs w:val="21"/>
              </w:rPr>
            </w:pPr>
          </w:p>
        </w:tc>
      </w:tr>
      <w:tr w:rsidR="006733E3" w:rsidRPr="004C1D16" w14:paraId="17E2820D" w14:textId="77777777" w:rsidTr="00814A59">
        <w:trPr>
          <w:trHeight w:val="227"/>
        </w:trPr>
        <w:tc>
          <w:tcPr>
            <w:tcW w:w="4058" w:type="dxa"/>
            <w:shd w:val="clear" w:color="auto" w:fill="auto"/>
            <w:vAlign w:val="center"/>
            <w:hideMark/>
          </w:tcPr>
          <w:p w14:paraId="372D02A8" w14:textId="77777777" w:rsidR="006733E3" w:rsidRPr="004C1D16" w:rsidRDefault="006733E3" w:rsidP="006733E3">
            <w:pPr>
              <w:spacing w:before="40" w:after="20"/>
              <w:rPr>
                <w:rFonts w:ascii="Arial Narrow" w:hAnsi="Arial Narrow"/>
                <w:i/>
                <w:iCs/>
                <w:color w:val="1F497D"/>
                <w:sz w:val="21"/>
                <w:szCs w:val="21"/>
              </w:rPr>
            </w:pPr>
            <w:r w:rsidRPr="004C1D16">
              <w:rPr>
                <w:rFonts w:ascii="Arial Narrow" w:hAnsi="Arial Narrow"/>
                <w:i/>
                <w:iCs/>
                <w:color w:val="1F497D"/>
                <w:sz w:val="21"/>
                <w:szCs w:val="21"/>
              </w:rPr>
              <w:t>- Trento</w:t>
            </w:r>
          </w:p>
        </w:tc>
        <w:tc>
          <w:tcPr>
            <w:tcW w:w="1017" w:type="dxa"/>
            <w:shd w:val="clear" w:color="000000" w:fill="E6E6E6"/>
            <w:vAlign w:val="bottom"/>
            <w:hideMark/>
          </w:tcPr>
          <w:p w14:paraId="54CBB52E" w14:textId="22CECD95" w:rsidR="006733E3" w:rsidRPr="004C1D16" w:rsidRDefault="006733E3" w:rsidP="006733E3">
            <w:pPr>
              <w:spacing w:before="40" w:after="20"/>
              <w:jc w:val="right"/>
              <w:rPr>
                <w:rFonts w:ascii="Arial Narrow" w:hAnsi="Arial Narrow"/>
                <w:i/>
                <w:iCs/>
                <w:color w:val="1F497D"/>
                <w:sz w:val="21"/>
                <w:szCs w:val="21"/>
              </w:rPr>
            </w:pPr>
            <w:r w:rsidRPr="004C1D16">
              <w:rPr>
                <w:rFonts w:ascii="Arial Narrow" w:hAnsi="Arial Narrow"/>
                <w:i/>
                <w:color w:val="1F497D"/>
                <w:sz w:val="21"/>
                <w:szCs w:val="21"/>
              </w:rPr>
              <w:t>2.495,43</w:t>
            </w:r>
          </w:p>
        </w:tc>
        <w:tc>
          <w:tcPr>
            <w:tcW w:w="1016" w:type="dxa"/>
            <w:shd w:val="clear" w:color="auto" w:fill="auto"/>
            <w:vAlign w:val="bottom"/>
            <w:hideMark/>
          </w:tcPr>
          <w:p w14:paraId="25F290DC" w14:textId="23F7CE6C" w:rsidR="006733E3" w:rsidRPr="004C1D16" w:rsidRDefault="006733E3" w:rsidP="006733E3">
            <w:pPr>
              <w:spacing w:before="40" w:after="20"/>
              <w:jc w:val="center"/>
              <w:rPr>
                <w:rFonts w:ascii="Arial Narrow" w:hAnsi="Arial Narrow"/>
                <w:i/>
                <w:iCs/>
                <w:color w:val="1F497D"/>
                <w:sz w:val="21"/>
                <w:szCs w:val="21"/>
              </w:rPr>
            </w:pPr>
            <w:r w:rsidRPr="004C1D16">
              <w:rPr>
                <w:rFonts w:ascii="Arial Narrow" w:hAnsi="Arial Narrow"/>
                <w:i/>
                <w:color w:val="1F497D"/>
                <w:sz w:val="21"/>
                <w:szCs w:val="21"/>
              </w:rPr>
              <w:t>2,1</w:t>
            </w:r>
          </w:p>
        </w:tc>
        <w:tc>
          <w:tcPr>
            <w:tcW w:w="1017" w:type="dxa"/>
            <w:shd w:val="clear" w:color="000000" w:fill="E6E6E6"/>
            <w:vAlign w:val="bottom"/>
            <w:hideMark/>
          </w:tcPr>
          <w:p w14:paraId="65AC1805" w14:textId="710655E0" w:rsidR="006733E3" w:rsidRPr="004C1D16" w:rsidRDefault="006733E3" w:rsidP="006733E3">
            <w:pPr>
              <w:spacing w:before="40" w:after="20"/>
              <w:jc w:val="right"/>
              <w:rPr>
                <w:rFonts w:ascii="Arial Narrow" w:hAnsi="Arial Narrow"/>
                <w:i/>
                <w:color w:val="1F497D"/>
                <w:sz w:val="21"/>
                <w:szCs w:val="21"/>
              </w:rPr>
            </w:pPr>
            <w:r w:rsidRPr="004C1D16">
              <w:rPr>
                <w:rFonts w:ascii="Arial Narrow" w:hAnsi="Arial Narrow"/>
                <w:i/>
                <w:color w:val="1F497D"/>
                <w:sz w:val="21"/>
                <w:szCs w:val="21"/>
              </w:rPr>
              <w:t>2</w:t>
            </w:r>
            <w:r w:rsidR="00874C43" w:rsidRPr="004C1D16">
              <w:rPr>
                <w:rFonts w:ascii="Arial Narrow" w:hAnsi="Arial Narrow"/>
                <w:i/>
                <w:color w:val="1F497D"/>
                <w:sz w:val="21"/>
                <w:szCs w:val="21"/>
              </w:rPr>
              <w:t>.</w:t>
            </w:r>
            <w:r w:rsidRPr="004C1D16">
              <w:rPr>
                <w:rFonts w:ascii="Arial Narrow" w:hAnsi="Arial Narrow"/>
                <w:i/>
                <w:color w:val="1F497D"/>
                <w:sz w:val="21"/>
                <w:szCs w:val="21"/>
              </w:rPr>
              <w:t>458,72</w:t>
            </w:r>
          </w:p>
        </w:tc>
        <w:tc>
          <w:tcPr>
            <w:tcW w:w="1016" w:type="dxa"/>
            <w:shd w:val="clear" w:color="auto" w:fill="auto"/>
            <w:vAlign w:val="bottom"/>
            <w:hideMark/>
          </w:tcPr>
          <w:p w14:paraId="16225854" w14:textId="65C281EE" w:rsidR="006733E3" w:rsidRPr="004C1D16" w:rsidRDefault="006733E3" w:rsidP="006733E3">
            <w:pPr>
              <w:spacing w:before="40" w:after="20"/>
              <w:jc w:val="center"/>
              <w:rPr>
                <w:rFonts w:ascii="Arial Narrow" w:hAnsi="Arial Narrow"/>
                <w:i/>
                <w:color w:val="1F497D"/>
                <w:sz w:val="21"/>
                <w:szCs w:val="21"/>
              </w:rPr>
            </w:pPr>
            <w:r w:rsidRPr="004C1D16">
              <w:rPr>
                <w:rFonts w:ascii="Arial Narrow" w:hAnsi="Arial Narrow"/>
                <w:i/>
                <w:color w:val="1F497D"/>
                <w:sz w:val="21"/>
                <w:szCs w:val="21"/>
              </w:rPr>
              <w:t>3,1</w:t>
            </w:r>
          </w:p>
        </w:tc>
        <w:tc>
          <w:tcPr>
            <w:tcW w:w="2025" w:type="dxa"/>
            <w:shd w:val="clear" w:color="auto" w:fill="auto"/>
            <w:vAlign w:val="bottom"/>
          </w:tcPr>
          <w:p w14:paraId="3EA34032" w14:textId="248A8950" w:rsidR="006733E3" w:rsidRPr="004C1D16" w:rsidRDefault="006733E3" w:rsidP="00814A59">
            <w:pPr>
              <w:spacing w:before="40" w:after="20"/>
              <w:jc w:val="center"/>
              <w:rPr>
                <w:rFonts w:ascii="Arial Narrow" w:hAnsi="Arial Narrow"/>
                <w:i/>
                <w:iCs/>
                <w:color w:val="1F497D"/>
                <w:sz w:val="21"/>
                <w:szCs w:val="21"/>
              </w:rPr>
            </w:pPr>
          </w:p>
        </w:tc>
      </w:tr>
      <w:tr w:rsidR="00BC199D" w:rsidRPr="004C1D16" w14:paraId="7CFE0A04" w14:textId="77777777" w:rsidTr="00814A59">
        <w:trPr>
          <w:trHeight w:val="227"/>
        </w:trPr>
        <w:tc>
          <w:tcPr>
            <w:tcW w:w="4058" w:type="dxa"/>
            <w:shd w:val="clear" w:color="auto" w:fill="auto"/>
            <w:vAlign w:val="center"/>
            <w:hideMark/>
          </w:tcPr>
          <w:p w14:paraId="67A3F5ED"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Veneto</w:t>
            </w:r>
          </w:p>
        </w:tc>
        <w:tc>
          <w:tcPr>
            <w:tcW w:w="1017" w:type="dxa"/>
            <w:shd w:val="clear" w:color="000000" w:fill="E6E6E6"/>
            <w:vAlign w:val="bottom"/>
            <w:hideMark/>
          </w:tcPr>
          <w:p w14:paraId="181E70B3" w14:textId="25C9B6E3"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2.680,91</w:t>
            </w:r>
          </w:p>
        </w:tc>
        <w:tc>
          <w:tcPr>
            <w:tcW w:w="1016" w:type="dxa"/>
            <w:shd w:val="clear" w:color="auto" w:fill="auto"/>
            <w:vAlign w:val="bottom"/>
            <w:hideMark/>
          </w:tcPr>
          <w:p w14:paraId="62D63035" w14:textId="4F3EA01D"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1,6</w:t>
            </w:r>
          </w:p>
        </w:tc>
        <w:tc>
          <w:tcPr>
            <w:tcW w:w="1017" w:type="dxa"/>
            <w:shd w:val="clear" w:color="000000" w:fill="E6E6E6"/>
            <w:vAlign w:val="bottom"/>
            <w:hideMark/>
          </w:tcPr>
          <w:p w14:paraId="4E044F66" w14:textId="76E1AC68"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2.387,33</w:t>
            </w:r>
          </w:p>
        </w:tc>
        <w:tc>
          <w:tcPr>
            <w:tcW w:w="1016" w:type="dxa"/>
            <w:shd w:val="clear" w:color="auto" w:fill="auto"/>
            <w:vAlign w:val="bottom"/>
            <w:hideMark/>
          </w:tcPr>
          <w:p w14:paraId="1666D659" w14:textId="3236101F"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1,6</w:t>
            </w:r>
          </w:p>
        </w:tc>
        <w:tc>
          <w:tcPr>
            <w:tcW w:w="2025" w:type="dxa"/>
            <w:shd w:val="clear" w:color="auto" w:fill="auto"/>
            <w:vAlign w:val="bottom"/>
          </w:tcPr>
          <w:p w14:paraId="0239C317" w14:textId="663FA5AC"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284E81B8" w14:textId="77777777" w:rsidTr="00814A59">
        <w:trPr>
          <w:trHeight w:val="227"/>
        </w:trPr>
        <w:tc>
          <w:tcPr>
            <w:tcW w:w="4058" w:type="dxa"/>
            <w:shd w:val="clear" w:color="auto" w:fill="auto"/>
            <w:vAlign w:val="center"/>
            <w:hideMark/>
          </w:tcPr>
          <w:p w14:paraId="38D3324B"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Friuli-Venezia Giulia</w:t>
            </w:r>
          </w:p>
        </w:tc>
        <w:tc>
          <w:tcPr>
            <w:tcW w:w="1017" w:type="dxa"/>
            <w:shd w:val="clear" w:color="000000" w:fill="E6E6E6"/>
            <w:vAlign w:val="bottom"/>
            <w:hideMark/>
          </w:tcPr>
          <w:p w14:paraId="193D34CD" w14:textId="523A3CBC"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2.611,06</w:t>
            </w:r>
          </w:p>
        </w:tc>
        <w:tc>
          <w:tcPr>
            <w:tcW w:w="1016" w:type="dxa"/>
            <w:shd w:val="clear" w:color="auto" w:fill="auto"/>
            <w:vAlign w:val="bottom"/>
            <w:hideMark/>
          </w:tcPr>
          <w:p w14:paraId="5C1F4FDF" w14:textId="64AB3A50"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2,1</w:t>
            </w:r>
          </w:p>
        </w:tc>
        <w:tc>
          <w:tcPr>
            <w:tcW w:w="1017" w:type="dxa"/>
            <w:shd w:val="clear" w:color="000000" w:fill="E6E6E6"/>
            <w:vAlign w:val="bottom"/>
            <w:hideMark/>
          </w:tcPr>
          <w:p w14:paraId="38480F14" w14:textId="4AA00A91"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2.417,90</w:t>
            </w:r>
          </w:p>
        </w:tc>
        <w:tc>
          <w:tcPr>
            <w:tcW w:w="1016" w:type="dxa"/>
            <w:shd w:val="clear" w:color="auto" w:fill="auto"/>
            <w:vAlign w:val="bottom"/>
            <w:hideMark/>
          </w:tcPr>
          <w:p w14:paraId="3F774FC7" w14:textId="1D8AA4E1"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2,4</w:t>
            </w:r>
          </w:p>
        </w:tc>
        <w:tc>
          <w:tcPr>
            <w:tcW w:w="2025" w:type="dxa"/>
            <w:shd w:val="clear" w:color="auto" w:fill="auto"/>
            <w:vAlign w:val="bottom"/>
          </w:tcPr>
          <w:p w14:paraId="5F3C5324" w14:textId="32C393F2"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3A09A928" w14:textId="77777777" w:rsidTr="00814A59">
        <w:trPr>
          <w:trHeight w:val="227"/>
        </w:trPr>
        <w:tc>
          <w:tcPr>
            <w:tcW w:w="4058" w:type="dxa"/>
            <w:shd w:val="clear" w:color="auto" w:fill="auto"/>
            <w:vAlign w:val="center"/>
            <w:hideMark/>
          </w:tcPr>
          <w:p w14:paraId="66D32A10"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Emilia-Romagna</w:t>
            </w:r>
          </w:p>
        </w:tc>
        <w:tc>
          <w:tcPr>
            <w:tcW w:w="1017" w:type="dxa"/>
            <w:shd w:val="clear" w:color="000000" w:fill="E6E6E6"/>
            <w:vAlign w:val="bottom"/>
            <w:hideMark/>
          </w:tcPr>
          <w:p w14:paraId="4E0186D2" w14:textId="5F3B6091"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2.906,75</w:t>
            </w:r>
          </w:p>
        </w:tc>
        <w:tc>
          <w:tcPr>
            <w:tcW w:w="1016" w:type="dxa"/>
            <w:shd w:val="clear" w:color="auto" w:fill="auto"/>
            <w:vAlign w:val="bottom"/>
            <w:hideMark/>
          </w:tcPr>
          <w:p w14:paraId="2B9E0C6B" w14:textId="59230434"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1,7</w:t>
            </w:r>
          </w:p>
        </w:tc>
        <w:tc>
          <w:tcPr>
            <w:tcW w:w="1017" w:type="dxa"/>
            <w:shd w:val="clear" w:color="000000" w:fill="E6E6E6"/>
            <w:vAlign w:val="bottom"/>
            <w:hideMark/>
          </w:tcPr>
          <w:p w14:paraId="694F2E73" w14:textId="78C22F05"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2.648,55</w:t>
            </w:r>
          </w:p>
        </w:tc>
        <w:tc>
          <w:tcPr>
            <w:tcW w:w="1016" w:type="dxa"/>
            <w:shd w:val="clear" w:color="auto" w:fill="auto"/>
            <w:vAlign w:val="bottom"/>
            <w:hideMark/>
          </w:tcPr>
          <w:p w14:paraId="1DB5D9DB" w14:textId="234343EE"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2,2</w:t>
            </w:r>
          </w:p>
        </w:tc>
        <w:tc>
          <w:tcPr>
            <w:tcW w:w="2025" w:type="dxa"/>
            <w:shd w:val="clear" w:color="auto" w:fill="auto"/>
            <w:vAlign w:val="bottom"/>
          </w:tcPr>
          <w:p w14:paraId="6473657F" w14:textId="33396837"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62345327" w14:textId="77777777" w:rsidTr="00814A59">
        <w:trPr>
          <w:trHeight w:val="227"/>
        </w:trPr>
        <w:tc>
          <w:tcPr>
            <w:tcW w:w="4058" w:type="dxa"/>
            <w:shd w:val="clear" w:color="auto" w:fill="auto"/>
            <w:vAlign w:val="center"/>
            <w:hideMark/>
          </w:tcPr>
          <w:p w14:paraId="1FAB2C37"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Toscana</w:t>
            </w:r>
          </w:p>
        </w:tc>
        <w:tc>
          <w:tcPr>
            <w:tcW w:w="1017" w:type="dxa"/>
            <w:shd w:val="clear" w:color="000000" w:fill="E6E6E6"/>
            <w:vAlign w:val="bottom"/>
            <w:hideMark/>
          </w:tcPr>
          <w:p w14:paraId="04CBF4CE" w14:textId="5621BC35"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2.922,43</w:t>
            </w:r>
          </w:p>
        </w:tc>
        <w:tc>
          <w:tcPr>
            <w:tcW w:w="1016" w:type="dxa"/>
            <w:shd w:val="clear" w:color="auto" w:fill="auto"/>
            <w:vAlign w:val="bottom"/>
            <w:hideMark/>
          </w:tcPr>
          <w:p w14:paraId="1F7B2681" w14:textId="5350CDAB"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1,8</w:t>
            </w:r>
          </w:p>
        </w:tc>
        <w:tc>
          <w:tcPr>
            <w:tcW w:w="1017" w:type="dxa"/>
            <w:shd w:val="clear" w:color="000000" w:fill="E6E6E6"/>
            <w:vAlign w:val="bottom"/>
            <w:hideMark/>
          </w:tcPr>
          <w:p w14:paraId="5280E805" w14:textId="4C92C48F"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2.482,73</w:t>
            </w:r>
          </w:p>
        </w:tc>
        <w:tc>
          <w:tcPr>
            <w:tcW w:w="1016" w:type="dxa"/>
            <w:shd w:val="clear" w:color="auto" w:fill="auto"/>
            <w:vAlign w:val="bottom"/>
            <w:hideMark/>
          </w:tcPr>
          <w:p w14:paraId="3651FAC2" w14:textId="643F326B"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1,6</w:t>
            </w:r>
          </w:p>
        </w:tc>
        <w:tc>
          <w:tcPr>
            <w:tcW w:w="2025" w:type="dxa"/>
            <w:shd w:val="clear" w:color="auto" w:fill="auto"/>
            <w:vAlign w:val="bottom"/>
          </w:tcPr>
          <w:p w14:paraId="020DB062" w14:textId="3C5FE152"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69901352" w14:textId="77777777" w:rsidTr="00814A59">
        <w:trPr>
          <w:trHeight w:val="227"/>
        </w:trPr>
        <w:tc>
          <w:tcPr>
            <w:tcW w:w="4058" w:type="dxa"/>
            <w:shd w:val="clear" w:color="auto" w:fill="auto"/>
            <w:vAlign w:val="center"/>
            <w:hideMark/>
          </w:tcPr>
          <w:p w14:paraId="0C66D7D0"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Umbria</w:t>
            </w:r>
          </w:p>
        </w:tc>
        <w:tc>
          <w:tcPr>
            <w:tcW w:w="1017" w:type="dxa"/>
            <w:shd w:val="clear" w:color="000000" w:fill="E6E6E6"/>
            <w:vAlign w:val="bottom"/>
            <w:hideMark/>
          </w:tcPr>
          <w:p w14:paraId="60720C78" w14:textId="32226218"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2.446,76</w:t>
            </w:r>
          </w:p>
        </w:tc>
        <w:tc>
          <w:tcPr>
            <w:tcW w:w="1016" w:type="dxa"/>
            <w:shd w:val="clear" w:color="auto" w:fill="auto"/>
            <w:vAlign w:val="bottom"/>
            <w:hideMark/>
          </w:tcPr>
          <w:p w14:paraId="1255437E" w14:textId="3B8C3C36"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2,9</w:t>
            </w:r>
          </w:p>
        </w:tc>
        <w:tc>
          <w:tcPr>
            <w:tcW w:w="1017" w:type="dxa"/>
            <w:shd w:val="clear" w:color="000000" w:fill="E6E6E6"/>
            <w:vAlign w:val="bottom"/>
            <w:hideMark/>
          </w:tcPr>
          <w:p w14:paraId="6C0B01D3" w14:textId="358B7199"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2.250,09</w:t>
            </w:r>
          </w:p>
        </w:tc>
        <w:tc>
          <w:tcPr>
            <w:tcW w:w="1016" w:type="dxa"/>
            <w:shd w:val="clear" w:color="auto" w:fill="auto"/>
            <w:vAlign w:val="bottom"/>
            <w:hideMark/>
          </w:tcPr>
          <w:p w14:paraId="7D51FFAC" w14:textId="1546F5DA"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2,2</w:t>
            </w:r>
          </w:p>
        </w:tc>
        <w:tc>
          <w:tcPr>
            <w:tcW w:w="2025" w:type="dxa"/>
            <w:shd w:val="clear" w:color="auto" w:fill="auto"/>
            <w:vAlign w:val="bottom"/>
          </w:tcPr>
          <w:p w14:paraId="4DCA6BA2" w14:textId="4553CA60"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7632BFC7" w14:textId="77777777" w:rsidTr="00814A59">
        <w:trPr>
          <w:trHeight w:val="227"/>
        </w:trPr>
        <w:tc>
          <w:tcPr>
            <w:tcW w:w="4058" w:type="dxa"/>
            <w:shd w:val="clear" w:color="auto" w:fill="auto"/>
            <w:vAlign w:val="center"/>
            <w:hideMark/>
          </w:tcPr>
          <w:p w14:paraId="57421917"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Marche</w:t>
            </w:r>
          </w:p>
        </w:tc>
        <w:tc>
          <w:tcPr>
            <w:tcW w:w="1017" w:type="dxa"/>
            <w:shd w:val="clear" w:color="000000" w:fill="E6E6E6"/>
            <w:vAlign w:val="bottom"/>
            <w:hideMark/>
          </w:tcPr>
          <w:p w14:paraId="1DC95B34" w14:textId="1B42FF0A"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2.402,69</w:t>
            </w:r>
          </w:p>
        </w:tc>
        <w:tc>
          <w:tcPr>
            <w:tcW w:w="1016" w:type="dxa"/>
            <w:shd w:val="clear" w:color="auto" w:fill="auto"/>
            <w:vAlign w:val="bottom"/>
            <w:hideMark/>
          </w:tcPr>
          <w:p w14:paraId="50BC972E" w14:textId="2CD35D60"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3,0</w:t>
            </w:r>
          </w:p>
        </w:tc>
        <w:tc>
          <w:tcPr>
            <w:tcW w:w="1017" w:type="dxa"/>
            <w:shd w:val="clear" w:color="000000" w:fill="E6E6E6"/>
            <w:vAlign w:val="bottom"/>
            <w:hideMark/>
          </w:tcPr>
          <w:p w14:paraId="6E00AFE0" w14:textId="4191D7A5"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2.197,59</w:t>
            </w:r>
          </w:p>
        </w:tc>
        <w:tc>
          <w:tcPr>
            <w:tcW w:w="1016" w:type="dxa"/>
            <w:shd w:val="clear" w:color="auto" w:fill="auto"/>
            <w:vAlign w:val="bottom"/>
            <w:hideMark/>
          </w:tcPr>
          <w:p w14:paraId="2B68215B" w14:textId="2F44C936"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2,4</w:t>
            </w:r>
          </w:p>
        </w:tc>
        <w:tc>
          <w:tcPr>
            <w:tcW w:w="2025" w:type="dxa"/>
            <w:shd w:val="clear" w:color="auto" w:fill="auto"/>
            <w:vAlign w:val="bottom"/>
          </w:tcPr>
          <w:p w14:paraId="54D478FF" w14:textId="3A879892"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6D86FB7A" w14:textId="77777777" w:rsidTr="00814A59">
        <w:trPr>
          <w:trHeight w:val="227"/>
        </w:trPr>
        <w:tc>
          <w:tcPr>
            <w:tcW w:w="4058" w:type="dxa"/>
            <w:shd w:val="clear" w:color="auto" w:fill="auto"/>
            <w:vAlign w:val="center"/>
            <w:hideMark/>
          </w:tcPr>
          <w:p w14:paraId="13F419C6"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Lazio</w:t>
            </w:r>
          </w:p>
        </w:tc>
        <w:tc>
          <w:tcPr>
            <w:tcW w:w="1017" w:type="dxa"/>
            <w:shd w:val="clear" w:color="000000" w:fill="E6E6E6"/>
            <w:vAlign w:val="bottom"/>
            <w:hideMark/>
          </w:tcPr>
          <w:p w14:paraId="168D8ABD" w14:textId="1DD1A354"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2.779,50</w:t>
            </w:r>
          </w:p>
        </w:tc>
        <w:tc>
          <w:tcPr>
            <w:tcW w:w="1016" w:type="dxa"/>
            <w:shd w:val="clear" w:color="auto" w:fill="auto"/>
            <w:vAlign w:val="bottom"/>
            <w:hideMark/>
          </w:tcPr>
          <w:p w14:paraId="4F1024EA" w14:textId="0472708C"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1,4</w:t>
            </w:r>
          </w:p>
        </w:tc>
        <w:tc>
          <w:tcPr>
            <w:tcW w:w="1017" w:type="dxa"/>
            <w:shd w:val="clear" w:color="000000" w:fill="E6E6E6"/>
            <w:vAlign w:val="bottom"/>
            <w:hideMark/>
          </w:tcPr>
          <w:p w14:paraId="3964FDF3" w14:textId="130A9F59"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2.641,95</w:t>
            </w:r>
          </w:p>
        </w:tc>
        <w:tc>
          <w:tcPr>
            <w:tcW w:w="1016" w:type="dxa"/>
            <w:shd w:val="clear" w:color="auto" w:fill="auto"/>
            <w:vAlign w:val="bottom"/>
            <w:hideMark/>
          </w:tcPr>
          <w:p w14:paraId="726F1E0E" w14:textId="0C976AB5"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2025" w:type="dxa"/>
            <w:shd w:val="clear" w:color="auto" w:fill="auto"/>
            <w:vAlign w:val="bottom"/>
          </w:tcPr>
          <w:p w14:paraId="2BE0E391" w14:textId="7EF4EEC1"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3018250F" w14:textId="77777777" w:rsidTr="00814A59">
        <w:trPr>
          <w:trHeight w:val="227"/>
        </w:trPr>
        <w:tc>
          <w:tcPr>
            <w:tcW w:w="4058" w:type="dxa"/>
            <w:shd w:val="clear" w:color="auto" w:fill="auto"/>
            <w:vAlign w:val="center"/>
            <w:hideMark/>
          </w:tcPr>
          <w:p w14:paraId="6E6A744C"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Abruzzo</w:t>
            </w:r>
          </w:p>
        </w:tc>
        <w:tc>
          <w:tcPr>
            <w:tcW w:w="1017" w:type="dxa"/>
            <w:shd w:val="clear" w:color="000000" w:fill="E6E6E6"/>
            <w:vAlign w:val="bottom"/>
            <w:hideMark/>
          </w:tcPr>
          <w:p w14:paraId="04FC86EB" w14:textId="006EDE06"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2.193,32</w:t>
            </w:r>
          </w:p>
        </w:tc>
        <w:tc>
          <w:tcPr>
            <w:tcW w:w="1016" w:type="dxa"/>
            <w:shd w:val="clear" w:color="auto" w:fill="auto"/>
            <w:vAlign w:val="bottom"/>
            <w:hideMark/>
          </w:tcPr>
          <w:p w14:paraId="66D089DC" w14:textId="4440BE6A"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2,9</w:t>
            </w:r>
          </w:p>
        </w:tc>
        <w:tc>
          <w:tcPr>
            <w:tcW w:w="1017" w:type="dxa"/>
            <w:shd w:val="clear" w:color="000000" w:fill="E6E6E6"/>
            <w:vAlign w:val="bottom"/>
            <w:hideMark/>
          </w:tcPr>
          <w:p w14:paraId="6945A85E" w14:textId="198FDAF9"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2.083,47</w:t>
            </w:r>
          </w:p>
        </w:tc>
        <w:tc>
          <w:tcPr>
            <w:tcW w:w="1016" w:type="dxa"/>
            <w:shd w:val="clear" w:color="auto" w:fill="auto"/>
            <w:vAlign w:val="bottom"/>
            <w:hideMark/>
          </w:tcPr>
          <w:p w14:paraId="30590A1F" w14:textId="4FA04D33"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3,3</w:t>
            </w:r>
          </w:p>
        </w:tc>
        <w:tc>
          <w:tcPr>
            <w:tcW w:w="2025" w:type="dxa"/>
            <w:shd w:val="clear" w:color="auto" w:fill="auto"/>
            <w:vAlign w:val="bottom"/>
          </w:tcPr>
          <w:p w14:paraId="62E61749" w14:textId="2846E041" w:rsidR="00BC199D" w:rsidRPr="004C1D16" w:rsidRDefault="00BC199D" w:rsidP="00814A59">
            <w:pPr>
              <w:spacing w:before="40" w:after="20"/>
              <w:jc w:val="center"/>
              <w:rPr>
                <w:rFonts w:ascii="Arial Narrow" w:hAnsi="Arial Narrow"/>
                <w:color w:val="1F497D"/>
                <w:sz w:val="21"/>
                <w:szCs w:val="21"/>
              </w:rPr>
            </w:pPr>
          </w:p>
        </w:tc>
      </w:tr>
      <w:tr w:rsidR="00BC199D" w:rsidRPr="004C1D16" w14:paraId="7D33EE42" w14:textId="77777777" w:rsidTr="00814A59">
        <w:trPr>
          <w:trHeight w:val="227"/>
        </w:trPr>
        <w:tc>
          <w:tcPr>
            <w:tcW w:w="4058" w:type="dxa"/>
            <w:shd w:val="clear" w:color="auto" w:fill="auto"/>
            <w:vAlign w:val="center"/>
            <w:hideMark/>
          </w:tcPr>
          <w:p w14:paraId="29528C9D"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Molise</w:t>
            </w:r>
          </w:p>
        </w:tc>
        <w:tc>
          <w:tcPr>
            <w:tcW w:w="1017" w:type="dxa"/>
            <w:shd w:val="clear" w:color="000000" w:fill="E6E6E6"/>
            <w:vAlign w:val="bottom"/>
            <w:hideMark/>
          </w:tcPr>
          <w:p w14:paraId="5EE9268B" w14:textId="5E53F914"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2.171,25</w:t>
            </w:r>
          </w:p>
        </w:tc>
        <w:tc>
          <w:tcPr>
            <w:tcW w:w="1016" w:type="dxa"/>
            <w:shd w:val="clear" w:color="auto" w:fill="auto"/>
            <w:vAlign w:val="bottom"/>
            <w:hideMark/>
          </w:tcPr>
          <w:p w14:paraId="31789596" w14:textId="231C4456"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2,7</w:t>
            </w:r>
          </w:p>
        </w:tc>
        <w:tc>
          <w:tcPr>
            <w:tcW w:w="1017" w:type="dxa"/>
            <w:shd w:val="clear" w:color="000000" w:fill="E6E6E6"/>
            <w:vAlign w:val="bottom"/>
            <w:hideMark/>
          </w:tcPr>
          <w:p w14:paraId="7A0F7554" w14:textId="3ED03A6E"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1.882,81</w:t>
            </w:r>
          </w:p>
        </w:tc>
        <w:tc>
          <w:tcPr>
            <w:tcW w:w="1016" w:type="dxa"/>
            <w:shd w:val="clear" w:color="auto" w:fill="auto"/>
            <w:vAlign w:val="bottom"/>
            <w:hideMark/>
          </w:tcPr>
          <w:p w14:paraId="3E150F8D" w14:textId="50526CAF"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3,6</w:t>
            </w:r>
          </w:p>
        </w:tc>
        <w:tc>
          <w:tcPr>
            <w:tcW w:w="2025" w:type="dxa"/>
            <w:shd w:val="clear" w:color="auto" w:fill="auto"/>
            <w:vAlign w:val="bottom"/>
          </w:tcPr>
          <w:p w14:paraId="49026D9D" w14:textId="15785A87"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4F385C9B" w14:textId="77777777" w:rsidTr="00814A59">
        <w:trPr>
          <w:trHeight w:val="227"/>
        </w:trPr>
        <w:tc>
          <w:tcPr>
            <w:tcW w:w="4058" w:type="dxa"/>
            <w:shd w:val="clear" w:color="auto" w:fill="auto"/>
            <w:vAlign w:val="center"/>
            <w:hideMark/>
          </w:tcPr>
          <w:p w14:paraId="4C484C18"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Campania</w:t>
            </w:r>
          </w:p>
        </w:tc>
        <w:tc>
          <w:tcPr>
            <w:tcW w:w="1017" w:type="dxa"/>
            <w:shd w:val="clear" w:color="000000" w:fill="E6E6E6"/>
            <w:vAlign w:val="bottom"/>
            <w:hideMark/>
          </w:tcPr>
          <w:p w14:paraId="0C9C00C6" w14:textId="6B794260"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2.113,94</w:t>
            </w:r>
          </w:p>
        </w:tc>
        <w:tc>
          <w:tcPr>
            <w:tcW w:w="1016" w:type="dxa"/>
            <w:shd w:val="clear" w:color="auto" w:fill="auto"/>
            <w:vAlign w:val="bottom"/>
            <w:hideMark/>
          </w:tcPr>
          <w:p w14:paraId="57D66D6A" w14:textId="280E77C2"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1,9</w:t>
            </w:r>
          </w:p>
        </w:tc>
        <w:tc>
          <w:tcPr>
            <w:tcW w:w="1017" w:type="dxa"/>
            <w:shd w:val="clear" w:color="000000" w:fill="E6E6E6"/>
            <w:vAlign w:val="bottom"/>
            <w:hideMark/>
          </w:tcPr>
          <w:p w14:paraId="58307245" w14:textId="555E5BBC"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1.958,53</w:t>
            </w:r>
          </w:p>
        </w:tc>
        <w:tc>
          <w:tcPr>
            <w:tcW w:w="1016" w:type="dxa"/>
            <w:shd w:val="clear" w:color="auto" w:fill="auto"/>
            <w:vAlign w:val="bottom"/>
            <w:hideMark/>
          </w:tcPr>
          <w:p w14:paraId="559C9715" w14:textId="350F198A"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1,9</w:t>
            </w:r>
          </w:p>
        </w:tc>
        <w:tc>
          <w:tcPr>
            <w:tcW w:w="2025" w:type="dxa"/>
            <w:shd w:val="clear" w:color="auto" w:fill="auto"/>
            <w:vAlign w:val="bottom"/>
          </w:tcPr>
          <w:p w14:paraId="735CEE8C" w14:textId="45359C9F"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50BDFBB6" w14:textId="77777777" w:rsidTr="00814A59">
        <w:trPr>
          <w:trHeight w:val="227"/>
        </w:trPr>
        <w:tc>
          <w:tcPr>
            <w:tcW w:w="4058" w:type="dxa"/>
            <w:shd w:val="clear" w:color="auto" w:fill="auto"/>
            <w:vAlign w:val="center"/>
            <w:hideMark/>
          </w:tcPr>
          <w:p w14:paraId="404587CA"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Puglia</w:t>
            </w:r>
          </w:p>
        </w:tc>
        <w:tc>
          <w:tcPr>
            <w:tcW w:w="1017" w:type="dxa"/>
            <w:shd w:val="clear" w:color="000000" w:fill="E6E6E6"/>
            <w:vAlign w:val="bottom"/>
            <w:hideMark/>
          </w:tcPr>
          <w:p w14:paraId="46773649" w14:textId="1BDD083F"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1.996,04</w:t>
            </w:r>
          </w:p>
        </w:tc>
        <w:tc>
          <w:tcPr>
            <w:tcW w:w="1016" w:type="dxa"/>
            <w:shd w:val="clear" w:color="auto" w:fill="auto"/>
            <w:vAlign w:val="bottom"/>
            <w:hideMark/>
          </w:tcPr>
          <w:p w14:paraId="666A698E" w14:textId="47498B68"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2,1</w:t>
            </w:r>
          </w:p>
        </w:tc>
        <w:tc>
          <w:tcPr>
            <w:tcW w:w="1017" w:type="dxa"/>
            <w:shd w:val="clear" w:color="000000" w:fill="E6E6E6"/>
            <w:vAlign w:val="bottom"/>
            <w:hideMark/>
          </w:tcPr>
          <w:p w14:paraId="1B606107" w14:textId="1FF229F8"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1.798,40</w:t>
            </w:r>
          </w:p>
        </w:tc>
        <w:tc>
          <w:tcPr>
            <w:tcW w:w="1016" w:type="dxa"/>
            <w:shd w:val="clear" w:color="auto" w:fill="auto"/>
            <w:vAlign w:val="bottom"/>
            <w:hideMark/>
          </w:tcPr>
          <w:p w14:paraId="5B77075C" w14:textId="16DA3192"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2,2</w:t>
            </w:r>
          </w:p>
        </w:tc>
        <w:tc>
          <w:tcPr>
            <w:tcW w:w="2025" w:type="dxa"/>
            <w:shd w:val="clear" w:color="auto" w:fill="auto"/>
            <w:vAlign w:val="bottom"/>
          </w:tcPr>
          <w:p w14:paraId="006228A5" w14:textId="34C666B7"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5E983FC2" w14:textId="77777777" w:rsidTr="00814A59">
        <w:trPr>
          <w:trHeight w:val="227"/>
        </w:trPr>
        <w:tc>
          <w:tcPr>
            <w:tcW w:w="4058" w:type="dxa"/>
            <w:shd w:val="clear" w:color="auto" w:fill="auto"/>
            <w:vAlign w:val="center"/>
            <w:hideMark/>
          </w:tcPr>
          <w:p w14:paraId="236E50AF"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Basilicata</w:t>
            </w:r>
          </w:p>
        </w:tc>
        <w:tc>
          <w:tcPr>
            <w:tcW w:w="1017" w:type="dxa"/>
            <w:shd w:val="clear" w:color="000000" w:fill="E6E6E6"/>
            <w:vAlign w:val="bottom"/>
            <w:hideMark/>
          </w:tcPr>
          <w:p w14:paraId="5A1A0A16" w14:textId="28B45FE4"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2.003,06</w:t>
            </w:r>
          </w:p>
        </w:tc>
        <w:tc>
          <w:tcPr>
            <w:tcW w:w="1016" w:type="dxa"/>
            <w:shd w:val="clear" w:color="auto" w:fill="auto"/>
            <w:vAlign w:val="bottom"/>
            <w:hideMark/>
          </w:tcPr>
          <w:p w14:paraId="3401D6E5" w14:textId="7175B7C3"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2,3</w:t>
            </w:r>
          </w:p>
        </w:tc>
        <w:tc>
          <w:tcPr>
            <w:tcW w:w="1017" w:type="dxa"/>
            <w:shd w:val="clear" w:color="000000" w:fill="E6E6E6"/>
            <w:vAlign w:val="bottom"/>
            <w:hideMark/>
          </w:tcPr>
          <w:p w14:paraId="459DCE0E" w14:textId="2840CD70"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1.735,88</w:t>
            </w:r>
          </w:p>
        </w:tc>
        <w:tc>
          <w:tcPr>
            <w:tcW w:w="1016" w:type="dxa"/>
            <w:shd w:val="clear" w:color="auto" w:fill="auto"/>
            <w:vAlign w:val="bottom"/>
            <w:hideMark/>
          </w:tcPr>
          <w:p w14:paraId="51F6D822" w14:textId="7E5E5921"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2,9</w:t>
            </w:r>
          </w:p>
        </w:tc>
        <w:tc>
          <w:tcPr>
            <w:tcW w:w="2025" w:type="dxa"/>
            <w:shd w:val="clear" w:color="auto" w:fill="auto"/>
            <w:vAlign w:val="bottom"/>
          </w:tcPr>
          <w:p w14:paraId="05CE8385" w14:textId="3A5F43FC"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43254CE8" w14:textId="77777777" w:rsidTr="00814A59">
        <w:trPr>
          <w:trHeight w:val="227"/>
        </w:trPr>
        <w:tc>
          <w:tcPr>
            <w:tcW w:w="4058" w:type="dxa"/>
            <w:shd w:val="clear" w:color="auto" w:fill="auto"/>
            <w:vAlign w:val="center"/>
            <w:hideMark/>
          </w:tcPr>
          <w:p w14:paraId="11D2E965"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Calabria</w:t>
            </w:r>
          </w:p>
        </w:tc>
        <w:tc>
          <w:tcPr>
            <w:tcW w:w="1017" w:type="dxa"/>
            <w:shd w:val="clear" w:color="000000" w:fill="E6E6E6"/>
            <w:vAlign w:val="bottom"/>
            <w:hideMark/>
          </w:tcPr>
          <w:p w14:paraId="63507B17" w14:textId="443A9D8E"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1.998,64</w:t>
            </w:r>
          </w:p>
        </w:tc>
        <w:tc>
          <w:tcPr>
            <w:tcW w:w="1016" w:type="dxa"/>
            <w:shd w:val="clear" w:color="auto" w:fill="auto"/>
            <w:vAlign w:val="bottom"/>
            <w:hideMark/>
          </w:tcPr>
          <w:p w14:paraId="218F126D" w14:textId="00775EDF"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4,0</w:t>
            </w:r>
          </w:p>
        </w:tc>
        <w:tc>
          <w:tcPr>
            <w:tcW w:w="1017" w:type="dxa"/>
            <w:shd w:val="clear" w:color="000000" w:fill="E6E6E6"/>
            <w:vAlign w:val="bottom"/>
            <w:hideMark/>
          </w:tcPr>
          <w:p w14:paraId="08C296C0" w14:textId="5915F9F5"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1.853,64</w:t>
            </w:r>
          </w:p>
        </w:tc>
        <w:tc>
          <w:tcPr>
            <w:tcW w:w="1016" w:type="dxa"/>
            <w:shd w:val="clear" w:color="auto" w:fill="auto"/>
            <w:vAlign w:val="bottom"/>
            <w:hideMark/>
          </w:tcPr>
          <w:p w14:paraId="2C1DEB3D" w14:textId="40DEADCC"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3,4</w:t>
            </w:r>
          </w:p>
        </w:tc>
        <w:tc>
          <w:tcPr>
            <w:tcW w:w="2025" w:type="dxa"/>
            <w:shd w:val="clear" w:color="auto" w:fill="auto"/>
            <w:vAlign w:val="bottom"/>
          </w:tcPr>
          <w:p w14:paraId="12D65270" w14:textId="73BFFBA7"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4D99AC5D" w14:textId="77777777" w:rsidTr="00814A59">
        <w:trPr>
          <w:trHeight w:val="227"/>
        </w:trPr>
        <w:tc>
          <w:tcPr>
            <w:tcW w:w="4058" w:type="dxa"/>
            <w:shd w:val="clear" w:color="auto" w:fill="auto"/>
            <w:vAlign w:val="center"/>
            <w:hideMark/>
          </w:tcPr>
          <w:p w14:paraId="09043F4B"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Sicilia</w:t>
            </w:r>
          </w:p>
        </w:tc>
        <w:tc>
          <w:tcPr>
            <w:tcW w:w="1017" w:type="dxa"/>
            <w:shd w:val="clear" w:color="000000" w:fill="E6E6E6"/>
            <w:vAlign w:val="bottom"/>
            <w:hideMark/>
          </w:tcPr>
          <w:p w14:paraId="02FCE004" w14:textId="7308E5DE"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2.017,99</w:t>
            </w:r>
          </w:p>
        </w:tc>
        <w:tc>
          <w:tcPr>
            <w:tcW w:w="1016" w:type="dxa"/>
            <w:shd w:val="clear" w:color="auto" w:fill="auto"/>
            <w:vAlign w:val="bottom"/>
            <w:hideMark/>
          </w:tcPr>
          <w:p w14:paraId="3A2A9CAC" w14:textId="12E82E92"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2,2</w:t>
            </w:r>
          </w:p>
        </w:tc>
        <w:tc>
          <w:tcPr>
            <w:tcW w:w="1017" w:type="dxa"/>
            <w:shd w:val="clear" w:color="000000" w:fill="E6E6E6"/>
            <w:vAlign w:val="bottom"/>
            <w:hideMark/>
          </w:tcPr>
          <w:p w14:paraId="0FC93434" w14:textId="3B2315A7"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1.946,56</w:t>
            </w:r>
          </w:p>
        </w:tc>
        <w:tc>
          <w:tcPr>
            <w:tcW w:w="1016" w:type="dxa"/>
            <w:shd w:val="clear" w:color="auto" w:fill="auto"/>
            <w:vAlign w:val="bottom"/>
            <w:hideMark/>
          </w:tcPr>
          <w:p w14:paraId="34E45E79" w14:textId="470EBAF7"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2,0</w:t>
            </w:r>
          </w:p>
        </w:tc>
        <w:tc>
          <w:tcPr>
            <w:tcW w:w="2025" w:type="dxa"/>
            <w:shd w:val="clear" w:color="auto" w:fill="auto"/>
            <w:vAlign w:val="bottom"/>
          </w:tcPr>
          <w:p w14:paraId="3809088C" w14:textId="14E5CE01" w:rsidR="00BC199D" w:rsidRPr="004C1D16" w:rsidRDefault="00BC199D" w:rsidP="00814A59">
            <w:pPr>
              <w:spacing w:before="40" w:after="20"/>
              <w:jc w:val="center"/>
              <w:rPr>
                <w:rFonts w:ascii="Arial Narrow" w:hAnsi="Arial Narrow"/>
                <w:color w:val="1F497D"/>
                <w:sz w:val="21"/>
                <w:szCs w:val="21"/>
              </w:rPr>
            </w:pPr>
          </w:p>
        </w:tc>
      </w:tr>
      <w:tr w:rsidR="00BC199D" w:rsidRPr="004C1D16" w14:paraId="41EEA3DA" w14:textId="77777777" w:rsidTr="00814A59">
        <w:trPr>
          <w:trHeight w:val="227"/>
        </w:trPr>
        <w:tc>
          <w:tcPr>
            <w:tcW w:w="4058" w:type="dxa"/>
            <w:shd w:val="clear" w:color="auto" w:fill="auto"/>
            <w:vAlign w:val="center"/>
            <w:hideMark/>
          </w:tcPr>
          <w:p w14:paraId="1B764CE5"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Sardegna</w:t>
            </w:r>
          </w:p>
        </w:tc>
        <w:tc>
          <w:tcPr>
            <w:tcW w:w="1017" w:type="dxa"/>
            <w:shd w:val="clear" w:color="000000" w:fill="E6E6E6"/>
            <w:vAlign w:val="bottom"/>
            <w:hideMark/>
          </w:tcPr>
          <w:p w14:paraId="2470B041" w14:textId="30237682"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2.216,17</w:t>
            </w:r>
          </w:p>
        </w:tc>
        <w:tc>
          <w:tcPr>
            <w:tcW w:w="1016" w:type="dxa"/>
            <w:shd w:val="clear" w:color="auto" w:fill="auto"/>
            <w:vAlign w:val="bottom"/>
            <w:hideMark/>
          </w:tcPr>
          <w:p w14:paraId="122676E5" w14:textId="474D9A3E"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2,4</w:t>
            </w:r>
          </w:p>
        </w:tc>
        <w:tc>
          <w:tcPr>
            <w:tcW w:w="1017" w:type="dxa"/>
            <w:shd w:val="clear" w:color="000000" w:fill="E6E6E6"/>
            <w:vAlign w:val="bottom"/>
            <w:hideMark/>
          </w:tcPr>
          <w:p w14:paraId="68ABFB64" w14:textId="4C0285DA"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1.955,72</w:t>
            </w:r>
          </w:p>
        </w:tc>
        <w:tc>
          <w:tcPr>
            <w:tcW w:w="1016" w:type="dxa"/>
            <w:shd w:val="clear" w:color="auto" w:fill="auto"/>
            <w:vAlign w:val="bottom"/>
            <w:hideMark/>
          </w:tcPr>
          <w:p w14:paraId="28D8211E" w14:textId="7891D1BA"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2,6</w:t>
            </w:r>
          </w:p>
        </w:tc>
        <w:tc>
          <w:tcPr>
            <w:tcW w:w="2025" w:type="dxa"/>
            <w:shd w:val="clear" w:color="auto" w:fill="auto"/>
            <w:vAlign w:val="bottom"/>
          </w:tcPr>
          <w:p w14:paraId="067B440F" w14:textId="27261F18"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B6DA6" w:rsidRPr="004C1D16" w14:paraId="4E072FDF" w14:textId="77777777" w:rsidTr="00814A59">
        <w:trPr>
          <w:trHeight w:val="227"/>
        </w:trPr>
        <w:tc>
          <w:tcPr>
            <w:tcW w:w="4058" w:type="dxa"/>
            <w:shd w:val="clear" w:color="000000" w:fill="1F497D"/>
            <w:vAlign w:val="center"/>
            <w:hideMark/>
          </w:tcPr>
          <w:p w14:paraId="7B10C912" w14:textId="77777777" w:rsidR="00BB6DA6" w:rsidRPr="004C1D16" w:rsidRDefault="00BB6DA6" w:rsidP="00BB6DA6">
            <w:pPr>
              <w:spacing w:before="40" w:after="20"/>
              <w:rPr>
                <w:rFonts w:ascii="Arial Narrow" w:hAnsi="Arial Narrow"/>
                <w:b/>
                <w:bCs/>
                <w:color w:val="FFFFFF"/>
                <w:sz w:val="21"/>
                <w:szCs w:val="21"/>
              </w:rPr>
            </w:pPr>
            <w:r w:rsidRPr="004C1D16">
              <w:rPr>
                <w:rFonts w:ascii="Arial Narrow" w:hAnsi="Arial Narrow"/>
                <w:b/>
                <w:bCs/>
                <w:color w:val="FFFFFF"/>
                <w:sz w:val="21"/>
                <w:szCs w:val="21"/>
              </w:rPr>
              <w:t>Numero di componenti</w:t>
            </w:r>
          </w:p>
        </w:tc>
        <w:tc>
          <w:tcPr>
            <w:tcW w:w="1017" w:type="dxa"/>
            <w:shd w:val="clear" w:color="000000" w:fill="1F497D"/>
            <w:vAlign w:val="center"/>
            <w:hideMark/>
          </w:tcPr>
          <w:p w14:paraId="4DFEA070" w14:textId="6682ED9B" w:rsidR="00BB6DA6" w:rsidRPr="004C1D16" w:rsidRDefault="00BB6DA6" w:rsidP="00BB6DA6">
            <w:pPr>
              <w:spacing w:before="40" w:after="20"/>
              <w:jc w:val="right"/>
              <w:rPr>
                <w:rFonts w:ascii="Arial Narrow" w:hAnsi="Arial Narrow"/>
                <w:b/>
                <w:bCs/>
                <w:color w:val="FFFFFF"/>
                <w:sz w:val="21"/>
                <w:szCs w:val="21"/>
              </w:rPr>
            </w:pPr>
          </w:p>
        </w:tc>
        <w:tc>
          <w:tcPr>
            <w:tcW w:w="1016" w:type="dxa"/>
            <w:shd w:val="clear" w:color="000000" w:fill="1F497D"/>
            <w:vAlign w:val="center"/>
            <w:hideMark/>
          </w:tcPr>
          <w:p w14:paraId="3C5DCDEB" w14:textId="47E2510A" w:rsidR="00BB6DA6" w:rsidRPr="004C1D16" w:rsidRDefault="00BB6DA6" w:rsidP="00BB6DA6">
            <w:pPr>
              <w:spacing w:before="40" w:after="20"/>
              <w:jc w:val="center"/>
              <w:rPr>
                <w:rFonts w:ascii="Arial Narrow" w:hAnsi="Arial Narrow"/>
                <w:b/>
                <w:bCs/>
                <w:color w:val="FFFFFF"/>
                <w:sz w:val="21"/>
                <w:szCs w:val="21"/>
              </w:rPr>
            </w:pPr>
          </w:p>
        </w:tc>
        <w:tc>
          <w:tcPr>
            <w:tcW w:w="1017" w:type="dxa"/>
            <w:shd w:val="clear" w:color="000000" w:fill="1F497D"/>
            <w:vAlign w:val="center"/>
            <w:hideMark/>
          </w:tcPr>
          <w:p w14:paraId="75B1730E" w14:textId="1FA30AA9" w:rsidR="00BB6DA6" w:rsidRPr="004C1D16" w:rsidRDefault="00BB6DA6" w:rsidP="00BB6DA6">
            <w:pPr>
              <w:spacing w:before="40" w:after="20"/>
              <w:jc w:val="center"/>
              <w:rPr>
                <w:rFonts w:ascii="Arial Narrow" w:hAnsi="Arial Narrow"/>
                <w:b/>
                <w:bCs/>
                <w:color w:val="FFFFFF"/>
                <w:sz w:val="21"/>
                <w:szCs w:val="21"/>
                <w:highlight w:val="yellow"/>
              </w:rPr>
            </w:pPr>
          </w:p>
        </w:tc>
        <w:tc>
          <w:tcPr>
            <w:tcW w:w="1016" w:type="dxa"/>
            <w:shd w:val="clear" w:color="000000" w:fill="1F497D"/>
            <w:vAlign w:val="center"/>
            <w:hideMark/>
          </w:tcPr>
          <w:p w14:paraId="3397D340" w14:textId="4CDCAC8B" w:rsidR="00BB6DA6" w:rsidRPr="004C1D16" w:rsidRDefault="00BB6DA6" w:rsidP="00BB6DA6">
            <w:pPr>
              <w:spacing w:before="40" w:after="20"/>
              <w:jc w:val="center"/>
              <w:rPr>
                <w:rFonts w:ascii="Arial Narrow" w:hAnsi="Arial Narrow"/>
                <w:b/>
                <w:bCs/>
                <w:color w:val="FFFFFF"/>
                <w:sz w:val="21"/>
                <w:szCs w:val="21"/>
                <w:highlight w:val="yellow"/>
              </w:rPr>
            </w:pPr>
          </w:p>
        </w:tc>
        <w:tc>
          <w:tcPr>
            <w:tcW w:w="2025" w:type="dxa"/>
            <w:shd w:val="clear" w:color="000000" w:fill="1F497D"/>
            <w:vAlign w:val="bottom"/>
          </w:tcPr>
          <w:p w14:paraId="62901F21" w14:textId="1A871D4C" w:rsidR="00BB6DA6" w:rsidRPr="004C1D16" w:rsidRDefault="00BB6DA6" w:rsidP="00814A59">
            <w:pPr>
              <w:spacing w:before="40" w:after="20"/>
              <w:jc w:val="center"/>
              <w:rPr>
                <w:rFonts w:ascii="Arial Narrow" w:hAnsi="Arial Narrow"/>
                <w:b/>
                <w:bCs/>
                <w:color w:val="FFFFFF"/>
                <w:sz w:val="21"/>
                <w:szCs w:val="21"/>
              </w:rPr>
            </w:pPr>
          </w:p>
        </w:tc>
      </w:tr>
      <w:tr w:rsidR="00BC199D" w:rsidRPr="004C1D16" w14:paraId="1D650417" w14:textId="77777777" w:rsidTr="00814A59">
        <w:trPr>
          <w:trHeight w:val="227"/>
        </w:trPr>
        <w:tc>
          <w:tcPr>
            <w:tcW w:w="4058" w:type="dxa"/>
            <w:shd w:val="clear" w:color="auto" w:fill="auto"/>
            <w:vAlign w:val="center"/>
            <w:hideMark/>
          </w:tcPr>
          <w:p w14:paraId="04C453A9"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1</w:t>
            </w:r>
          </w:p>
        </w:tc>
        <w:tc>
          <w:tcPr>
            <w:tcW w:w="1017" w:type="dxa"/>
            <w:shd w:val="clear" w:color="000000" w:fill="E6E6E6"/>
            <w:vAlign w:val="bottom"/>
            <w:hideMark/>
          </w:tcPr>
          <w:p w14:paraId="7ACA1F1B" w14:textId="5533AAE3"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1.815,45</w:t>
            </w:r>
          </w:p>
        </w:tc>
        <w:tc>
          <w:tcPr>
            <w:tcW w:w="1016" w:type="dxa"/>
            <w:shd w:val="clear" w:color="auto" w:fill="auto"/>
            <w:vAlign w:val="bottom"/>
            <w:hideMark/>
          </w:tcPr>
          <w:p w14:paraId="37184F29" w14:textId="4FD245C2"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1017" w:type="dxa"/>
            <w:shd w:val="clear" w:color="000000" w:fill="E6E6E6"/>
            <w:vAlign w:val="bottom"/>
            <w:hideMark/>
          </w:tcPr>
          <w:p w14:paraId="3AA1B794" w14:textId="7FBCAC6D"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1</w:t>
            </w:r>
            <w:r w:rsidR="004A380F" w:rsidRPr="004C1D16">
              <w:rPr>
                <w:rFonts w:ascii="Arial Narrow" w:hAnsi="Arial Narrow"/>
                <w:color w:val="1F497D"/>
                <w:sz w:val="21"/>
                <w:szCs w:val="21"/>
              </w:rPr>
              <w:t>.</w:t>
            </w:r>
            <w:r w:rsidRPr="004C1D16">
              <w:rPr>
                <w:rFonts w:ascii="Arial Narrow" w:hAnsi="Arial Narrow"/>
                <w:color w:val="1F497D"/>
                <w:sz w:val="21"/>
                <w:szCs w:val="21"/>
              </w:rPr>
              <w:t>715,80</w:t>
            </w:r>
          </w:p>
        </w:tc>
        <w:tc>
          <w:tcPr>
            <w:tcW w:w="1016" w:type="dxa"/>
            <w:shd w:val="clear" w:color="auto" w:fill="auto"/>
            <w:vAlign w:val="bottom"/>
            <w:hideMark/>
          </w:tcPr>
          <w:p w14:paraId="690C80E1" w14:textId="3A629E46"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1,0</w:t>
            </w:r>
          </w:p>
        </w:tc>
        <w:tc>
          <w:tcPr>
            <w:tcW w:w="2025" w:type="dxa"/>
            <w:shd w:val="clear" w:color="auto" w:fill="auto"/>
            <w:vAlign w:val="bottom"/>
          </w:tcPr>
          <w:p w14:paraId="1FB928F5" w14:textId="7C83A512"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33827D85" w14:textId="77777777" w:rsidTr="00814A59">
        <w:trPr>
          <w:trHeight w:val="227"/>
        </w:trPr>
        <w:tc>
          <w:tcPr>
            <w:tcW w:w="4058" w:type="dxa"/>
            <w:shd w:val="clear" w:color="auto" w:fill="auto"/>
            <w:vAlign w:val="center"/>
            <w:hideMark/>
          </w:tcPr>
          <w:p w14:paraId="475AABF7"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2</w:t>
            </w:r>
          </w:p>
        </w:tc>
        <w:tc>
          <w:tcPr>
            <w:tcW w:w="1017" w:type="dxa"/>
            <w:shd w:val="clear" w:color="000000" w:fill="E6E6E6"/>
            <w:vAlign w:val="bottom"/>
            <w:hideMark/>
          </w:tcPr>
          <w:p w14:paraId="7C83F2C0" w14:textId="16FD373F"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2.648,47</w:t>
            </w:r>
          </w:p>
        </w:tc>
        <w:tc>
          <w:tcPr>
            <w:tcW w:w="1016" w:type="dxa"/>
            <w:shd w:val="clear" w:color="auto" w:fill="auto"/>
            <w:vAlign w:val="bottom"/>
            <w:hideMark/>
          </w:tcPr>
          <w:p w14:paraId="6D04AFA6" w14:textId="449B10EE"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1,4</w:t>
            </w:r>
          </w:p>
        </w:tc>
        <w:tc>
          <w:tcPr>
            <w:tcW w:w="1017" w:type="dxa"/>
            <w:shd w:val="clear" w:color="000000" w:fill="E6E6E6"/>
            <w:vAlign w:val="bottom"/>
            <w:hideMark/>
          </w:tcPr>
          <w:p w14:paraId="67D375E7" w14:textId="042FD806"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w:t>
            </w:r>
            <w:r w:rsidR="004A380F" w:rsidRPr="004C1D16">
              <w:rPr>
                <w:rFonts w:ascii="Arial Narrow" w:hAnsi="Arial Narrow"/>
                <w:color w:val="1F497D"/>
                <w:sz w:val="21"/>
                <w:szCs w:val="21"/>
              </w:rPr>
              <w:t>.</w:t>
            </w:r>
            <w:r w:rsidRPr="004C1D16">
              <w:rPr>
                <w:rFonts w:ascii="Arial Narrow" w:hAnsi="Arial Narrow"/>
                <w:color w:val="1F497D"/>
                <w:sz w:val="21"/>
                <w:szCs w:val="21"/>
              </w:rPr>
              <w:t>372,29</w:t>
            </w:r>
          </w:p>
        </w:tc>
        <w:tc>
          <w:tcPr>
            <w:tcW w:w="1016" w:type="dxa"/>
            <w:shd w:val="clear" w:color="auto" w:fill="auto"/>
            <w:vAlign w:val="bottom"/>
            <w:hideMark/>
          </w:tcPr>
          <w:p w14:paraId="365F0FD6" w14:textId="42046C2E"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2025" w:type="dxa"/>
            <w:shd w:val="clear" w:color="auto" w:fill="auto"/>
            <w:vAlign w:val="bottom"/>
          </w:tcPr>
          <w:p w14:paraId="77EF5450" w14:textId="61609D12"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318DBDFC" w14:textId="77777777" w:rsidTr="00814A59">
        <w:trPr>
          <w:trHeight w:val="227"/>
        </w:trPr>
        <w:tc>
          <w:tcPr>
            <w:tcW w:w="4058" w:type="dxa"/>
            <w:shd w:val="clear" w:color="auto" w:fill="auto"/>
            <w:vAlign w:val="center"/>
            <w:hideMark/>
          </w:tcPr>
          <w:p w14:paraId="301625EB"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3</w:t>
            </w:r>
          </w:p>
        </w:tc>
        <w:tc>
          <w:tcPr>
            <w:tcW w:w="1017" w:type="dxa"/>
            <w:shd w:val="clear" w:color="000000" w:fill="E6E6E6"/>
            <w:vAlign w:val="bottom"/>
            <w:hideMark/>
          </w:tcPr>
          <w:p w14:paraId="5CB9709A" w14:textId="7689CF08"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2.961,80</w:t>
            </w:r>
          </w:p>
        </w:tc>
        <w:tc>
          <w:tcPr>
            <w:tcW w:w="1016" w:type="dxa"/>
            <w:shd w:val="clear" w:color="auto" w:fill="auto"/>
            <w:vAlign w:val="bottom"/>
            <w:hideMark/>
          </w:tcPr>
          <w:p w14:paraId="5121A1AE" w14:textId="4A81C120"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1,8</w:t>
            </w:r>
          </w:p>
        </w:tc>
        <w:tc>
          <w:tcPr>
            <w:tcW w:w="1017" w:type="dxa"/>
            <w:shd w:val="clear" w:color="000000" w:fill="E6E6E6"/>
            <w:vAlign w:val="bottom"/>
            <w:hideMark/>
          </w:tcPr>
          <w:p w14:paraId="124472F8" w14:textId="3A7F0C90"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w:t>
            </w:r>
            <w:r w:rsidR="004A380F" w:rsidRPr="004C1D16">
              <w:rPr>
                <w:rFonts w:ascii="Arial Narrow" w:hAnsi="Arial Narrow"/>
                <w:color w:val="1F497D"/>
                <w:sz w:val="21"/>
                <w:szCs w:val="21"/>
              </w:rPr>
              <w:t>.</w:t>
            </w:r>
            <w:r w:rsidRPr="004C1D16">
              <w:rPr>
                <w:rFonts w:ascii="Arial Narrow" w:hAnsi="Arial Narrow"/>
                <w:color w:val="1F497D"/>
                <w:sz w:val="21"/>
                <w:szCs w:val="21"/>
              </w:rPr>
              <w:t>717,47</w:t>
            </w:r>
          </w:p>
        </w:tc>
        <w:tc>
          <w:tcPr>
            <w:tcW w:w="1016" w:type="dxa"/>
            <w:shd w:val="clear" w:color="auto" w:fill="auto"/>
            <w:vAlign w:val="bottom"/>
            <w:hideMark/>
          </w:tcPr>
          <w:p w14:paraId="66FB5701" w14:textId="378B09F5"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1,8</w:t>
            </w:r>
          </w:p>
        </w:tc>
        <w:tc>
          <w:tcPr>
            <w:tcW w:w="2025" w:type="dxa"/>
            <w:shd w:val="clear" w:color="auto" w:fill="auto"/>
            <w:vAlign w:val="bottom"/>
          </w:tcPr>
          <w:p w14:paraId="5345A312" w14:textId="5276AD5B"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46F380E6" w14:textId="77777777" w:rsidTr="00814A59">
        <w:trPr>
          <w:trHeight w:val="227"/>
        </w:trPr>
        <w:tc>
          <w:tcPr>
            <w:tcW w:w="4058" w:type="dxa"/>
            <w:shd w:val="clear" w:color="auto" w:fill="auto"/>
            <w:vAlign w:val="center"/>
            <w:hideMark/>
          </w:tcPr>
          <w:p w14:paraId="25BE3B39"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4</w:t>
            </w:r>
          </w:p>
        </w:tc>
        <w:tc>
          <w:tcPr>
            <w:tcW w:w="1017" w:type="dxa"/>
            <w:shd w:val="clear" w:color="000000" w:fill="E6E6E6"/>
            <w:vAlign w:val="bottom"/>
            <w:hideMark/>
          </w:tcPr>
          <w:p w14:paraId="0DF2C8E9" w14:textId="58ED4634"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3.289,06</w:t>
            </w:r>
          </w:p>
        </w:tc>
        <w:tc>
          <w:tcPr>
            <w:tcW w:w="1016" w:type="dxa"/>
            <w:shd w:val="clear" w:color="auto" w:fill="auto"/>
            <w:vAlign w:val="bottom"/>
            <w:hideMark/>
          </w:tcPr>
          <w:p w14:paraId="361245E5" w14:textId="3D3F077B"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2,0</w:t>
            </w:r>
          </w:p>
        </w:tc>
        <w:tc>
          <w:tcPr>
            <w:tcW w:w="1017" w:type="dxa"/>
            <w:shd w:val="clear" w:color="000000" w:fill="E6E6E6"/>
            <w:vAlign w:val="bottom"/>
            <w:hideMark/>
          </w:tcPr>
          <w:p w14:paraId="76104552" w14:textId="3711B480"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2</w:t>
            </w:r>
            <w:r w:rsidR="004A380F" w:rsidRPr="004C1D16">
              <w:rPr>
                <w:rFonts w:ascii="Arial Narrow" w:hAnsi="Arial Narrow"/>
                <w:color w:val="1F497D"/>
                <w:sz w:val="21"/>
                <w:szCs w:val="21"/>
              </w:rPr>
              <w:t>.</w:t>
            </w:r>
            <w:r w:rsidRPr="004C1D16">
              <w:rPr>
                <w:rFonts w:ascii="Arial Narrow" w:hAnsi="Arial Narrow"/>
                <w:color w:val="1F497D"/>
                <w:sz w:val="21"/>
                <w:szCs w:val="21"/>
              </w:rPr>
              <w:t>912,67</w:t>
            </w:r>
          </w:p>
        </w:tc>
        <w:tc>
          <w:tcPr>
            <w:tcW w:w="1016" w:type="dxa"/>
            <w:shd w:val="clear" w:color="auto" w:fill="auto"/>
            <w:vAlign w:val="bottom"/>
            <w:hideMark/>
          </w:tcPr>
          <w:p w14:paraId="6940408A" w14:textId="006E284F"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1,8</w:t>
            </w:r>
          </w:p>
        </w:tc>
        <w:tc>
          <w:tcPr>
            <w:tcW w:w="2025" w:type="dxa"/>
            <w:shd w:val="clear" w:color="auto" w:fill="auto"/>
            <w:vAlign w:val="bottom"/>
          </w:tcPr>
          <w:p w14:paraId="60F8E198" w14:textId="2DE55287"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C199D" w:rsidRPr="004C1D16" w14:paraId="0F32EF16" w14:textId="77777777" w:rsidTr="00814A59">
        <w:trPr>
          <w:trHeight w:val="227"/>
        </w:trPr>
        <w:tc>
          <w:tcPr>
            <w:tcW w:w="4058" w:type="dxa"/>
            <w:shd w:val="clear" w:color="auto" w:fill="auto"/>
            <w:vAlign w:val="center"/>
            <w:hideMark/>
          </w:tcPr>
          <w:p w14:paraId="06A4DAFD" w14:textId="77777777" w:rsidR="00BC199D" w:rsidRPr="004C1D16" w:rsidRDefault="00BC199D" w:rsidP="00BC199D">
            <w:pPr>
              <w:spacing w:before="40" w:after="20"/>
              <w:rPr>
                <w:rFonts w:ascii="Arial Narrow" w:hAnsi="Arial Narrow"/>
                <w:color w:val="1F497D"/>
                <w:sz w:val="21"/>
                <w:szCs w:val="21"/>
              </w:rPr>
            </w:pPr>
            <w:r w:rsidRPr="004C1D16">
              <w:rPr>
                <w:rFonts w:ascii="Arial Narrow" w:hAnsi="Arial Narrow"/>
                <w:color w:val="1F497D"/>
                <w:sz w:val="21"/>
                <w:szCs w:val="21"/>
              </w:rPr>
              <w:t>5 e più</w:t>
            </w:r>
          </w:p>
        </w:tc>
        <w:tc>
          <w:tcPr>
            <w:tcW w:w="1017" w:type="dxa"/>
            <w:shd w:val="clear" w:color="000000" w:fill="E6E6E6"/>
            <w:vAlign w:val="bottom"/>
            <w:hideMark/>
          </w:tcPr>
          <w:p w14:paraId="7D71D0CE" w14:textId="737EFA35"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3.393,86</w:t>
            </w:r>
          </w:p>
        </w:tc>
        <w:tc>
          <w:tcPr>
            <w:tcW w:w="1016" w:type="dxa"/>
            <w:shd w:val="clear" w:color="auto" w:fill="auto"/>
            <w:vAlign w:val="bottom"/>
            <w:hideMark/>
          </w:tcPr>
          <w:p w14:paraId="1264782F" w14:textId="01486B4E"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3,5</w:t>
            </w:r>
          </w:p>
        </w:tc>
        <w:tc>
          <w:tcPr>
            <w:tcW w:w="1017" w:type="dxa"/>
            <w:shd w:val="clear" w:color="000000" w:fill="E6E6E6"/>
            <w:vAlign w:val="bottom"/>
            <w:hideMark/>
          </w:tcPr>
          <w:p w14:paraId="3363549A" w14:textId="3D465137" w:rsidR="00BC199D" w:rsidRPr="004C1D16" w:rsidRDefault="00BC199D" w:rsidP="00BC199D">
            <w:pPr>
              <w:spacing w:before="40" w:after="20"/>
              <w:jc w:val="right"/>
              <w:rPr>
                <w:rFonts w:ascii="Arial Narrow" w:hAnsi="Arial Narrow"/>
                <w:color w:val="1F497D"/>
                <w:sz w:val="21"/>
                <w:szCs w:val="21"/>
              </w:rPr>
            </w:pPr>
            <w:r w:rsidRPr="004C1D16">
              <w:rPr>
                <w:rFonts w:ascii="Arial Narrow" w:hAnsi="Arial Narrow"/>
                <w:color w:val="1F497D"/>
                <w:sz w:val="21"/>
                <w:szCs w:val="21"/>
              </w:rPr>
              <w:t>3</w:t>
            </w:r>
            <w:r w:rsidR="004A380F" w:rsidRPr="004C1D16">
              <w:rPr>
                <w:rFonts w:ascii="Arial Narrow" w:hAnsi="Arial Narrow"/>
                <w:color w:val="1F497D"/>
                <w:sz w:val="21"/>
                <w:szCs w:val="21"/>
              </w:rPr>
              <w:t>.</w:t>
            </w:r>
            <w:r w:rsidRPr="004C1D16">
              <w:rPr>
                <w:rFonts w:ascii="Arial Narrow" w:hAnsi="Arial Narrow"/>
                <w:color w:val="1F497D"/>
                <w:sz w:val="21"/>
                <w:szCs w:val="21"/>
              </w:rPr>
              <w:t>076,38</w:t>
            </w:r>
          </w:p>
        </w:tc>
        <w:tc>
          <w:tcPr>
            <w:tcW w:w="1016" w:type="dxa"/>
            <w:shd w:val="clear" w:color="auto" w:fill="auto"/>
            <w:vAlign w:val="bottom"/>
            <w:hideMark/>
          </w:tcPr>
          <w:p w14:paraId="04B17443" w14:textId="2192E243" w:rsidR="00BC199D" w:rsidRPr="004C1D16" w:rsidRDefault="00BC199D" w:rsidP="00BC199D">
            <w:pPr>
              <w:spacing w:before="40" w:after="20"/>
              <w:jc w:val="center"/>
              <w:rPr>
                <w:rFonts w:ascii="Arial Narrow" w:hAnsi="Arial Narrow"/>
                <w:color w:val="1F497D"/>
                <w:sz w:val="21"/>
                <w:szCs w:val="21"/>
              </w:rPr>
            </w:pPr>
            <w:r w:rsidRPr="004C1D16">
              <w:rPr>
                <w:rFonts w:ascii="Arial Narrow" w:hAnsi="Arial Narrow"/>
                <w:color w:val="1F497D"/>
                <w:sz w:val="21"/>
                <w:szCs w:val="21"/>
              </w:rPr>
              <w:t>3,3</w:t>
            </w:r>
          </w:p>
        </w:tc>
        <w:tc>
          <w:tcPr>
            <w:tcW w:w="2025" w:type="dxa"/>
            <w:shd w:val="clear" w:color="auto" w:fill="auto"/>
            <w:vAlign w:val="bottom"/>
          </w:tcPr>
          <w:p w14:paraId="26C5D96D" w14:textId="519BD00C" w:rsidR="00BC199D" w:rsidRPr="004C1D16" w:rsidRDefault="002B186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B6DA6" w:rsidRPr="004C1D16" w14:paraId="6F0D7761" w14:textId="77777777" w:rsidTr="00814A59">
        <w:trPr>
          <w:trHeight w:val="227"/>
        </w:trPr>
        <w:tc>
          <w:tcPr>
            <w:tcW w:w="4058" w:type="dxa"/>
            <w:shd w:val="clear" w:color="000000" w:fill="1F497D"/>
            <w:vAlign w:val="center"/>
            <w:hideMark/>
          </w:tcPr>
          <w:p w14:paraId="300AD338" w14:textId="77777777" w:rsidR="00BB6DA6" w:rsidRPr="004C1D16" w:rsidRDefault="00BB6DA6" w:rsidP="00BB6DA6">
            <w:pPr>
              <w:spacing w:before="40" w:after="20"/>
              <w:rPr>
                <w:rFonts w:ascii="Arial Narrow" w:hAnsi="Arial Narrow"/>
                <w:b/>
                <w:bCs/>
                <w:color w:val="FFFFFF"/>
                <w:sz w:val="21"/>
                <w:szCs w:val="21"/>
              </w:rPr>
            </w:pPr>
            <w:r w:rsidRPr="004C1D16">
              <w:rPr>
                <w:rFonts w:ascii="Arial Narrow" w:hAnsi="Arial Narrow"/>
                <w:b/>
                <w:bCs/>
                <w:color w:val="FFFFFF"/>
                <w:sz w:val="21"/>
                <w:szCs w:val="21"/>
              </w:rPr>
              <w:t>Tipologia familiare</w:t>
            </w:r>
          </w:p>
        </w:tc>
        <w:tc>
          <w:tcPr>
            <w:tcW w:w="1017" w:type="dxa"/>
            <w:shd w:val="clear" w:color="000000" w:fill="1F497D"/>
            <w:vAlign w:val="center"/>
            <w:hideMark/>
          </w:tcPr>
          <w:p w14:paraId="2A55D5F9" w14:textId="0BB69759" w:rsidR="00BB6DA6" w:rsidRPr="004C1D16" w:rsidRDefault="00BB6DA6" w:rsidP="00BB6DA6">
            <w:pPr>
              <w:spacing w:before="40" w:after="20"/>
              <w:jc w:val="right"/>
              <w:rPr>
                <w:rFonts w:ascii="Arial Narrow" w:hAnsi="Arial Narrow"/>
                <w:b/>
                <w:bCs/>
                <w:color w:val="FFFFFF"/>
                <w:sz w:val="21"/>
                <w:szCs w:val="21"/>
              </w:rPr>
            </w:pPr>
          </w:p>
        </w:tc>
        <w:tc>
          <w:tcPr>
            <w:tcW w:w="1016" w:type="dxa"/>
            <w:shd w:val="clear" w:color="000000" w:fill="1F497D"/>
            <w:vAlign w:val="center"/>
            <w:hideMark/>
          </w:tcPr>
          <w:p w14:paraId="39FE8800" w14:textId="76D8EBA0" w:rsidR="00BB6DA6" w:rsidRPr="004C1D16" w:rsidRDefault="00BB6DA6" w:rsidP="00BB6DA6">
            <w:pPr>
              <w:spacing w:before="40" w:after="20"/>
              <w:jc w:val="center"/>
              <w:rPr>
                <w:rFonts w:ascii="Arial Narrow" w:hAnsi="Arial Narrow"/>
                <w:b/>
                <w:bCs/>
                <w:color w:val="FFFFFF"/>
                <w:sz w:val="21"/>
                <w:szCs w:val="21"/>
              </w:rPr>
            </w:pPr>
          </w:p>
        </w:tc>
        <w:tc>
          <w:tcPr>
            <w:tcW w:w="1017" w:type="dxa"/>
            <w:shd w:val="clear" w:color="000000" w:fill="1F497D"/>
            <w:vAlign w:val="center"/>
            <w:hideMark/>
          </w:tcPr>
          <w:p w14:paraId="74B439F8" w14:textId="48D41E59" w:rsidR="00BB6DA6" w:rsidRPr="004C1D16" w:rsidRDefault="00BB6DA6" w:rsidP="00BB6DA6">
            <w:pPr>
              <w:spacing w:before="40" w:after="20"/>
              <w:jc w:val="center"/>
              <w:rPr>
                <w:rFonts w:ascii="Arial Narrow" w:hAnsi="Arial Narrow"/>
                <w:b/>
                <w:bCs/>
                <w:color w:val="FFFFFF"/>
                <w:sz w:val="21"/>
                <w:szCs w:val="21"/>
                <w:highlight w:val="yellow"/>
              </w:rPr>
            </w:pPr>
          </w:p>
        </w:tc>
        <w:tc>
          <w:tcPr>
            <w:tcW w:w="1016" w:type="dxa"/>
            <w:shd w:val="clear" w:color="000000" w:fill="1F497D"/>
            <w:vAlign w:val="center"/>
            <w:hideMark/>
          </w:tcPr>
          <w:p w14:paraId="4120D45B" w14:textId="0C9D0B9C" w:rsidR="00BB6DA6" w:rsidRPr="004C1D16" w:rsidRDefault="00BB6DA6" w:rsidP="00BB6DA6">
            <w:pPr>
              <w:spacing w:before="40" w:after="20"/>
              <w:jc w:val="center"/>
              <w:rPr>
                <w:rFonts w:ascii="Arial Narrow" w:hAnsi="Arial Narrow"/>
                <w:b/>
                <w:bCs/>
                <w:color w:val="FFFFFF"/>
                <w:sz w:val="21"/>
                <w:szCs w:val="21"/>
                <w:highlight w:val="yellow"/>
              </w:rPr>
            </w:pPr>
          </w:p>
        </w:tc>
        <w:tc>
          <w:tcPr>
            <w:tcW w:w="2025" w:type="dxa"/>
            <w:shd w:val="clear" w:color="000000" w:fill="1F497D"/>
            <w:vAlign w:val="bottom"/>
          </w:tcPr>
          <w:p w14:paraId="237F8B3D" w14:textId="5FCF3F59" w:rsidR="00BB6DA6" w:rsidRPr="004C1D16" w:rsidRDefault="00BB6DA6" w:rsidP="00814A59">
            <w:pPr>
              <w:spacing w:before="40" w:after="20"/>
              <w:jc w:val="center"/>
              <w:rPr>
                <w:rFonts w:ascii="Arial Narrow" w:hAnsi="Arial Narrow"/>
                <w:b/>
                <w:bCs/>
                <w:color w:val="FFFFFF"/>
                <w:sz w:val="21"/>
                <w:szCs w:val="21"/>
              </w:rPr>
            </w:pPr>
          </w:p>
        </w:tc>
      </w:tr>
      <w:tr w:rsidR="004A380F" w:rsidRPr="004C1D16" w14:paraId="745A2FA6" w14:textId="77777777" w:rsidTr="00814A59">
        <w:trPr>
          <w:trHeight w:val="227"/>
        </w:trPr>
        <w:tc>
          <w:tcPr>
            <w:tcW w:w="4058" w:type="dxa"/>
            <w:shd w:val="clear" w:color="auto" w:fill="auto"/>
            <w:vAlign w:val="center"/>
            <w:hideMark/>
          </w:tcPr>
          <w:p w14:paraId="72A9A45E"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Persona sola 18-34 anni</w:t>
            </w:r>
          </w:p>
        </w:tc>
        <w:tc>
          <w:tcPr>
            <w:tcW w:w="1017" w:type="dxa"/>
            <w:shd w:val="clear" w:color="000000" w:fill="E6E6E6"/>
            <w:vAlign w:val="bottom"/>
            <w:hideMark/>
          </w:tcPr>
          <w:p w14:paraId="7113AC25" w14:textId="5374BFE8"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1.775,52</w:t>
            </w:r>
          </w:p>
        </w:tc>
        <w:tc>
          <w:tcPr>
            <w:tcW w:w="1016" w:type="dxa"/>
            <w:shd w:val="clear" w:color="auto" w:fill="auto"/>
            <w:vAlign w:val="bottom"/>
            <w:hideMark/>
          </w:tcPr>
          <w:p w14:paraId="1AC00D57" w14:textId="4847B3DC"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6,3</w:t>
            </w:r>
          </w:p>
        </w:tc>
        <w:tc>
          <w:tcPr>
            <w:tcW w:w="1017" w:type="dxa"/>
            <w:shd w:val="clear" w:color="000000" w:fill="E6E6E6"/>
            <w:vAlign w:val="bottom"/>
            <w:hideMark/>
          </w:tcPr>
          <w:p w14:paraId="54CC8CDC" w14:textId="4DA68618"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1.764,22</w:t>
            </w:r>
          </w:p>
        </w:tc>
        <w:tc>
          <w:tcPr>
            <w:tcW w:w="1016" w:type="dxa"/>
            <w:shd w:val="clear" w:color="auto" w:fill="auto"/>
            <w:vAlign w:val="bottom"/>
            <w:hideMark/>
          </w:tcPr>
          <w:p w14:paraId="4644ADFC" w14:textId="32A1A190"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4,6</w:t>
            </w:r>
          </w:p>
        </w:tc>
        <w:tc>
          <w:tcPr>
            <w:tcW w:w="2025" w:type="dxa"/>
            <w:shd w:val="clear" w:color="auto" w:fill="auto"/>
            <w:vAlign w:val="bottom"/>
          </w:tcPr>
          <w:p w14:paraId="53D3831F" w14:textId="4DD74A12" w:rsidR="004A380F" w:rsidRPr="004C1D16" w:rsidRDefault="004A380F" w:rsidP="00814A59">
            <w:pPr>
              <w:spacing w:before="40" w:after="20"/>
              <w:jc w:val="center"/>
              <w:rPr>
                <w:rFonts w:ascii="Arial Narrow" w:hAnsi="Arial Narrow"/>
                <w:color w:val="1F497D"/>
                <w:sz w:val="21"/>
                <w:szCs w:val="21"/>
              </w:rPr>
            </w:pPr>
          </w:p>
        </w:tc>
      </w:tr>
      <w:tr w:rsidR="004A380F" w:rsidRPr="004C1D16" w14:paraId="2D6D9D3A" w14:textId="77777777" w:rsidTr="00814A59">
        <w:trPr>
          <w:trHeight w:val="227"/>
        </w:trPr>
        <w:tc>
          <w:tcPr>
            <w:tcW w:w="4058" w:type="dxa"/>
            <w:shd w:val="clear" w:color="auto" w:fill="auto"/>
            <w:vAlign w:val="center"/>
            <w:hideMark/>
          </w:tcPr>
          <w:p w14:paraId="42E2E904"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Persona sola 35-64 anni</w:t>
            </w:r>
          </w:p>
        </w:tc>
        <w:tc>
          <w:tcPr>
            <w:tcW w:w="1017" w:type="dxa"/>
            <w:shd w:val="clear" w:color="000000" w:fill="E6E6E6"/>
            <w:vAlign w:val="bottom"/>
            <w:hideMark/>
          </w:tcPr>
          <w:p w14:paraId="16122615" w14:textId="06472B7F"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2.008,82</w:t>
            </w:r>
          </w:p>
        </w:tc>
        <w:tc>
          <w:tcPr>
            <w:tcW w:w="1016" w:type="dxa"/>
            <w:shd w:val="clear" w:color="auto" w:fill="auto"/>
            <w:vAlign w:val="bottom"/>
            <w:hideMark/>
          </w:tcPr>
          <w:p w14:paraId="514BAF1F" w14:textId="3849AA7F"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2,3</w:t>
            </w:r>
          </w:p>
        </w:tc>
        <w:tc>
          <w:tcPr>
            <w:tcW w:w="1017" w:type="dxa"/>
            <w:shd w:val="clear" w:color="000000" w:fill="E6E6E6"/>
            <w:vAlign w:val="bottom"/>
            <w:hideMark/>
          </w:tcPr>
          <w:p w14:paraId="5F8A1AA4" w14:textId="08731BC4"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1.841,66</w:t>
            </w:r>
          </w:p>
        </w:tc>
        <w:tc>
          <w:tcPr>
            <w:tcW w:w="1016" w:type="dxa"/>
            <w:shd w:val="clear" w:color="auto" w:fill="auto"/>
            <w:vAlign w:val="bottom"/>
            <w:hideMark/>
          </w:tcPr>
          <w:p w14:paraId="502CF260" w14:textId="7E738629"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1,8</w:t>
            </w:r>
          </w:p>
        </w:tc>
        <w:tc>
          <w:tcPr>
            <w:tcW w:w="2025" w:type="dxa"/>
            <w:shd w:val="clear" w:color="auto" w:fill="auto"/>
            <w:vAlign w:val="bottom"/>
          </w:tcPr>
          <w:p w14:paraId="675B1CD2" w14:textId="1E1826E8"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65C3E812" w14:textId="77777777" w:rsidTr="00814A59">
        <w:trPr>
          <w:trHeight w:val="227"/>
        </w:trPr>
        <w:tc>
          <w:tcPr>
            <w:tcW w:w="4058" w:type="dxa"/>
            <w:shd w:val="clear" w:color="auto" w:fill="auto"/>
            <w:vAlign w:val="center"/>
            <w:hideMark/>
          </w:tcPr>
          <w:p w14:paraId="613573FD"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Persona sola 65 anni e più</w:t>
            </w:r>
          </w:p>
        </w:tc>
        <w:tc>
          <w:tcPr>
            <w:tcW w:w="1017" w:type="dxa"/>
            <w:shd w:val="clear" w:color="000000" w:fill="E6E6E6"/>
            <w:vAlign w:val="bottom"/>
            <w:hideMark/>
          </w:tcPr>
          <w:p w14:paraId="5AAF9A68" w14:textId="199155FF"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1.661,25</w:t>
            </w:r>
          </w:p>
        </w:tc>
        <w:tc>
          <w:tcPr>
            <w:tcW w:w="1016" w:type="dxa"/>
            <w:shd w:val="clear" w:color="auto" w:fill="auto"/>
            <w:vAlign w:val="bottom"/>
            <w:hideMark/>
          </w:tcPr>
          <w:p w14:paraId="1DC37E65" w14:textId="59113C33"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2,1</w:t>
            </w:r>
          </w:p>
        </w:tc>
        <w:tc>
          <w:tcPr>
            <w:tcW w:w="1017" w:type="dxa"/>
            <w:shd w:val="clear" w:color="000000" w:fill="E6E6E6"/>
            <w:vAlign w:val="bottom"/>
            <w:hideMark/>
          </w:tcPr>
          <w:p w14:paraId="6FD4B0C5" w14:textId="42FCE7E6"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1.601,52</w:t>
            </w:r>
          </w:p>
        </w:tc>
        <w:tc>
          <w:tcPr>
            <w:tcW w:w="1016" w:type="dxa"/>
            <w:shd w:val="clear" w:color="auto" w:fill="auto"/>
            <w:vAlign w:val="bottom"/>
            <w:hideMark/>
          </w:tcPr>
          <w:p w14:paraId="4D8E6BBA" w14:textId="552B58FF"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1,6</w:t>
            </w:r>
          </w:p>
        </w:tc>
        <w:tc>
          <w:tcPr>
            <w:tcW w:w="2025" w:type="dxa"/>
            <w:shd w:val="clear" w:color="auto" w:fill="auto"/>
            <w:vAlign w:val="bottom"/>
          </w:tcPr>
          <w:p w14:paraId="6BC7A9A4" w14:textId="1F995A5D"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3621ABF6" w14:textId="77777777" w:rsidTr="00814A59">
        <w:trPr>
          <w:trHeight w:val="227"/>
        </w:trPr>
        <w:tc>
          <w:tcPr>
            <w:tcW w:w="4058" w:type="dxa"/>
            <w:shd w:val="clear" w:color="auto" w:fill="auto"/>
            <w:vAlign w:val="center"/>
            <w:hideMark/>
          </w:tcPr>
          <w:p w14:paraId="27AADF2B" w14:textId="76966B69"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Coppia senza figli con p.r. 18-34 anni</w:t>
            </w:r>
          </w:p>
        </w:tc>
        <w:tc>
          <w:tcPr>
            <w:tcW w:w="1017" w:type="dxa"/>
            <w:shd w:val="clear" w:color="000000" w:fill="E6E6E6"/>
            <w:vAlign w:val="bottom"/>
            <w:hideMark/>
          </w:tcPr>
          <w:p w14:paraId="61404C49" w14:textId="6B95A178"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2.919,93</w:t>
            </w:r>
          </w:p>
        </w:tc>
        <w:tc>
          <w:tcPr>
            <w:tcW w:w="1016" w:type="dxa"/>
            <w:shd w:val="clear" w:color="auto" w:fill="auto"/>
            <w:vAlign w:val="bottom"/>
            <w:hideMark/>
          </w:tcPr>
          <w:p w14:paraId="7ABB7A49" w14:textId="1AFEDEC7"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7,2</w:t>
            </w:r>
          </w:p>
        </w:tc>
        <w:tc>
          <w:tcPr>
            <w:tcW w:w="1017" w:type="dxa"/>
            <w:shd w:val="clear" w:color="000000" w:fill="E6E6E6"/>
            <w:vAlign w:val="bottom"/>
            <w:hideMark/>
          </w:tcPr>
          <w:p w14:paraId="054F46B2" w14:textId="7B593725"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2.783,26</w:t>
            </w:r>
          </w:p>
        </w:tc>
        <w:tc>
          <w:tcPr>
            <w:tcW w:w="1016" w:type="dxa"/>
            <w:shd w:val="clear" w:color="auto" w:fill="auto"/>
            <w:vAlign w:val="bottom"/>
            <w:hideMark/>
          </w:tcPr>
          <w:p w14:paraId="4D57DE06" w14:textId="026F2D5C"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6,0</w:t>
            </w:r>
          </w:p>
        </w:tc>
        <w:tc>
          <w:tcPr>
            <w:tcW w:w="2025" w:type="dxa"/>
            <w:shd w:val="clear" w:color="auto" w:fill="auto"/>
            <w:vAlign w:val="bottom"/>
          </w:tcPr>
          <w:p w14:paraId="3EED7155" w14:textId="3EB77D28" w:rsidR="004A380F" w:rsidRPr="004C1D16" w:rsidRDefault="004A380F" w:rsidP="00814A59">
            <w:pPr>
              <w:spacing w:before="40" w:after="20"/>
              <w:jc w:val="center"/>
              <w:rPr>
                <w:rFonts w:ascii="Arial Narrow" w:hAnsi="Arial Narrow"/>
                <w:color w:val="1F497D"/>
                <w:sz w:val="21"/>
                <w:szCs w:val="21"/>
              </w:rPr>
            </w:pPr>
          </w:p>
        </w:tc>
      </w:tr>
      <w:tr w:rsidR="004C1D16" w:rsidRPr="004C1D16" w14:paraId="77E4CC65" w14:textId="77777777" w:rsidTr="00814A59">
        <w:trPr>
          <w:trHeight w:val="227"/>
        </w:trPr>
        <w:tc>
          <w:tcPr>
            <w:tcW w:w="4058" w:type="dxa"/>
            <w:shd w:val="clear" w:color="auto" w:fill="auto"/>
            <w:vAlign w:val="center"/>
          </w:tcPr>
          <w:p w14:paraId="1119ED3B" w14:textId="77777777" w:rsidR="004C1D16" w:rsidRPr="004C1D16" w:rsidRDefault="004C1D16" w:rsidP="004A380F">
            <w:pPr>
              <w:spacing w:before="40" w:after="20"/>
              <w:rPr>
                <w:rFonts w:ascii="Arial Narrow" w:hAnsi="Arial Narrow"/>
                <w:color w:val="1F497D"/>
                <w:sz w:val="21"/>
                <w:szCs w:val="21"/>
              </w:rPr>
            </w:pPr>
          </w:p>
        </w:tc>
        <w:tc>
          <w:tcPr>
            <w:tcW w:w="1017" w:type="dxa"/>
            <w:shd w:val="clear" w:color="000000" w:fill="E6E6E6"/>
            <w:vAlign w:val="bottom"/>
          </w:tcPr>
          <w:p w14:paraId="2AAEAF60" w14:textId="77777777" w:rsidR="004C1D16" w:rsidRPr="004C1D16" w:rsidRDefault="004C1D16" w:rsidP="004A380F">
            <w:pPr>
              <w:spacing w:before="40" w:after="20"/>
              <w:jc w:val="right"/>
              <w:rPr>
                <w:rFonts w:ascii="Arial Narrow" w:hAnsi="Arial Narrow"/>
                <w:color w:val="1F497D"/>
                <w:sz w:val="21"/>
                <w:szCs w:val="21"/>
              </w:rPr>
            </w:pPr>
          </w:p>
        </w:tc>
        <w:tc>
          <w:tcPr>
            <w:tcW w:w="1016" w:type="dxa"/>
            <w:shd w:val="clear" w:color="auto" w:fill="auto"/>
            <w:vAlign w:val="bottom"/>
          </w:tcPr>
          <w:p w14:paraId="0A8ABF88" w14:textId="77777777" w:rsidR="004C1D16" w:rsidRPr="004C1D16" w:rsidRDefault="004C1D16" w:rsidP="004A380F">
            <w:pPr>
              <w:spacing w:before="40" w:after="20"/>
              <w:jc w:val="center"/>
              <w:rPr>
                <w:rFonts w:ascii="Arial Narrow" w:hAnsi="Arial Narrow"/>
                <w:color w:val="1F497D"/>
                <w:sz w:val="21"/>
                <w:szCs w:val="21"/>
              </w:rPr>
            </w:pPr>
          </w:p>
        </w:tc>
        <w:tc>
          <w:tcPr>
            <w:tcW w:w="1017" w:type="dxa"/>
            <w:shd w:val="clear" w:color="000000" w:fill="E6E6E6"/>
            <w:vAlign w:val="bottom"/>
          </w:tcPr>
          <w:p w14:paraId="07E28D17" w14:textId="77777777" w:rsidR="004C1D16" w:rsidRPr="004C1D16" w:rsidRDefault="004C1D16" w:rsidP="004A380F">
            <w:pPr>
              <w:spacing w:before="40" w:after="20"/>
              <w:jc w:val="right"/>
              <w:rPr>
                <w:rFonts w:ascii="Arial Narrow" w:hAnsi="Arial Narrow"/>
                <w:color w:val="1F497D"/>
                <w:sz w:val="21"/>
                <w:szCs w:val="21"/>
              </w:rPr>
            </w:pPr>
          </w:p>
        </w:tc>
        <w:tc>
          <w:tcPr>
            <w:tcW w:w="1016" w:type="dxa"/>
            <w:shd w:val="clear" w:color="auto" w:fill="auto"/>
            <w:vAlign w:val="bottom"/>
          </w:tcPr>
          <w:p w14:paraId="194B662D" w14:textId="77777777" w:rsidR="004C1D16" w:rsidRPr="004C1D16" w:rsidRDefault="004C1D16" w:rsidP="004A380F">
            <w:pPr>
              <w:spacing w:before="40" w:after="20"/>
              <w:jc w:val="center"/>
              <w:rPr>
                <w:rFonts w:ascii="Arial Narrow" w:hAnsi="Arial Narrow"/>
                <w:color w:val="1F497D"/>
                <w:sz w:val="21"/>
                <w:szCs w:val="21"/>
              </w:rPr>
            </w:pPr>
          </w:p>
        </w:tc>
        <w:tc>
          <w:tcPr>
            <w:tcW w:w="2025" w:type="dxa"/>
            <w:shd w:val="clear" w:color="auto" w:fill="auto"/>
            <w:vAlign w:val="bottom"/>
          </w:tcPr>
          <w:p w14:paraId="7C9B9660" w14:textId="77777777" w:rsidR="004C1D16" w:rsidRPr="004C1D16" w:rsidRDefault="004C1D16" w:rsidP="00814A59">
            <w:pPr>
              <w:spacing w:before="40" w:after="20"/>
              <w:jc w:val="center"/>
              <w:rPr>
                <w:rFonts w:ascii="Arial Narrow" w:hAnsi="Arial Narrow"/>
                <w:color w:val="1F497D"/>
                <w:sz w:val="21"/>
                <w:szCs w:val="21"/>
              </w:rPr>
            </w:pPr>
          </w:p>
        </w:tc>
      </w:tr>
      <w:tr w:rsidR="004A380F" w:rsidRPr="004C1D16" w14:paraId="40F4B10B" w14:textId="77777777" w:rsidTr="00814A59">
        <w:trPr>
          <w:trHeight w:val="227"/>
        </w:trPr>
        <w:tc>
          <w:tcPr>
            <w:tcW w:w="4058" w:type="dxa"/>
            <w:shd w:val="clear" w:color="auto" w:fill="auto"/>
            <w:vAlign w:val="center"/>
            <w:hideMark/>
          </w:tcPr>
          <w:p w14:paraId="44CECD4A" w14:textId="332FFDAC"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Coppia senza figli con p.r. 35-64 anni</w:t>
            </w:r>
          </w:p>
        </w:tc>
        <w:tc>
          <w:tcPr>
            <w:tcW w:w="1017" w:type="dxa"/>
            <w:shd w:val="clear" w:color="000000" w:fill="E6E6E6"/>
            <w:vAlign w:val="bottom"/>
            <w:hideMark/>
          </w:tcPr>
          <w:p w14:paraId="4CA67051" w14:textId="485CCABA"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2.860,52</w:t>
            </w:r>
          </w:p>
        </w:tc>
        <w:tc>
          <w:tcPr>
            <w:tcW w:w="1016" w:type="dxa"/>
            <w:shd w:val="clear" w:color="auto" w:fill="auto"/>
            <w:vAlign w:val="bottom"/>
            <w:hideMark/>
          </w:tcPr>
          <w:p w14:paraId="282FA480" w14:textId="0ECFE07F"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3,1</w:t>
            </w:r>
          </w:p>
        </w:tc>
        <w:tc>
          <w:tcPr>
            <w:tcW w:w="1017" w:type="dxa"/>
            <w:shd w:val="clear" w:color="000000" w:fill="E6E6E6"/>
            <w:vAlign w:val="bottom"/>
            <w:hideMark/>
          </w:tcPr>
          <w:p w14:paraId="46C68A82" w14:textId="28A5896B"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2.598,04</w:t>
            </w:r>
          </w:p>
        </w:tc>
        <w:tc>
          <w:tcPr>
            <w:tcW w:w="1016" w:type="dxa"/>
            <w:shd w:val="clear" w:color="auto" w:fill="auto"/>
            <w:vAlign w:val="bottom"/>
            <w:hideMark/>
          </w:tcPr>
          <w:p w14:paraId="49BC660E" w14:textId="7DD81EB7"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2,7</w:t>
            </w:r>
          </w:p>
        </w:tc>
        <w:tc>
          <w:tcPr>
            <w:tcW w:w="2025" w:type="dxa"/>
            <w:shd w:val="clear" w:color="auto" w:fill="auto"/>
            <w:vAlign w:val="bottom"/>
          </w:tcPr>
          <w:p w14:paraId="5BA41634" w14:textId="592C7195"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7D6B400E" w14:textId="77777777" w:rsidTr="00814A59">
        <w:trPr>
          <w:trHeight w:val="227"/>
        </w:trPr>
        <w:tc>
          <w:tcPr>
            <w:tcW w:w="4058" w:type="dxa"/>
            <w:shd w:val="clear" w:color="auto" w:fill="auto"/>
            <w:vAlign w:val="center"/>
            <w:hideMark/>
          </w:tcPr>
          <w:p w14:paraId="0638B8E8" w14:textId="15F61FB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lastRenderedPageBreak/>
              <w:t>Coppia senza figli con p.r. 65 anni e più</w:t>
            </w:r>
          </w:p>
        </w:tc>
        <w:tc>
          <w:tcPr>
            <w:tcW w:w="1017" w:type="dxa"/>
            <w:shd w:val="clear" w:color="000000" w:fill="E6E6E6"/>
            <w:vAlign w:val="bottom"/>
            <w:hideMark/>
          </w:tcPr>
          <w:p w14:paraId="491A61D1" w14:textId="67AD690E"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2.657,83</w:t>
            </w:r>
          </w:p>
        </w:tc>
        <w:tc>
          <w:tcPr>
            <w:tcW w:w="1016" w:type="dxa"/>
            <w:shd w:val="clear" w:color="auto" w:fill="auto"/>
            <w:vAlign w:val="bottom"/>
            <w:hideMark/>
          </w:tcPr>
          <w:p w14:paraId="142757FC" w14:textId="6F41ADB8"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2,0</w:t>
            </w:r>
          </w:p>
        </w:tc>
        <w:tc>
          <w:tcPr>
            <w:tcW w:w="1017" w:type="dxa"/>
            <w:shd w:val="clear" w:color="000000" w:fill="E6E6E6"/>
            <w:vAlign w:val="bottom"/>
            <w:hideMark/>
          </w:tcPr>
          <w:p w14:paraId="446715D8" w14:textId="719594D3"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2.350,63</w:t>
            </w:r>
          </w:p>
        </w:tc>
        <w:tc>
          <w:tcPr>
            <w:tcW w:w="1016" w:type="dxa"/>
            <w:shd w:val="clear" w:color="auto" w:fill="auto"/>
            <w:vAlign w:val="bottom"/>
            <w:hideMark/>
          </w:tcPr>
          <w:p w14:paraId="41BDDB42" w14:textId="5BCB7288"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1,8</w:t>
            </w:r>
          </w:p>
        </w:tc>
        <w:tc>
          <w:tcPr>
            <w:tcW w:w="2025" w:type="dxa"/>
            <w:shd w:val="clear" w:color="auto" w:fill="auto"/>
            <w:vAlign w:val="bottom"/>
          </w:tcPr>
          <w:p w14:paraId="2B913A03" w14:textId="190E4C21"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0DD01C9D" w14:textId="77777777" w:rsidTr="00814A59">
        <w:trPr>
          <w:trHeight w:val="227"/>
        </w:trPr>
        <w:tc>
          <w:tcPr>
            <w:tcW w:w="4058" w:type="dxa"/>
            <w:shd w:val="clear" w:color="auto" w:fill="auto"/>
            <w:vAlign w:val="center"/>
            <w:hideMark/>
          </w:tcPr>
          <w:p w14:paraId="1685576B"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Coppia con 1 figlio</w:t>
            </w:r>
          </w:p>
        </w:tc>
        <w:tc>
          <w:tcPr>
            <w:tcW w:w="1017" w:type="dxa"/>
            <w:shd w:val="clear" w:color="000000" w:fill="E6E6E6"/>
            <w:vAlign w:val="bottom"/>
            <w:hideMark/>
          </w:tcPr>
          <w:p w14:paraId="147760CA" w14:textId="6832D941"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3.024,03</w:t>
            </w:r>
          </w:p>
        </w:tc>
        <w:tc>
          <w:tcPr>
            <w:tcW w:w="1016" w:type="dxa"/>
            <w:shd w:val="clear" w:color="auto" w:fill="auto"/>
            <w:vAlign w:val="bottom"/>
            <w:hideMark/>
          </w:tcPr>
          <w:p w14:paraId="42C8F2B5" w14:textId="11E66163"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2,1</w:t>
            </w:r>
          </w:p>
        </w:tc>
        <w:tc>
          <w:tcPr>
            <w:tcW w:w="1017" w:type="dxa"/>
            <w:shd w:val="clear" w:color="000000" w:fill="E6E6E6"/>
            <w:vAlign w:val="bottom"/>
            <w:hideMark/>
          </w:tcPr>
          <w:p w14:paraId="3213F4FA" w14:textId="127B6362"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2.775,82</w:t>
            </w:r>
          </w:p>
        </w:tc>
        <w:tc>
          <w:tcPr>
            <w:tcW w:w="1016" w:type="dxa"/>
            <w:shd w:val="clear" w:color="auto" w:fill="auto"/>
            <w:vAlign w:val="bottom"/>
            <w:hideMark/>
          </w:tcPr>
          <w:p w14:paraId="42A9F1E3" w14:textId="41564F11"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2,0</w:t>
            </w:r>
          </w:p>
        </w:tc>
        <w:tc>
          <w:tcPr>
            <w:tcW w:w="2025" w:type="dxa"/>
            <w:shd w:val="clear" w:color="auto" w:fill="auto"/>
            <w:vAlign w:val="bottom"/>
          </w:tcPr>
          <w:p w14:paraId="0CB16DDB" w14:textId="548B5026"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189D959C" w14:textId="77777777" w:rsidTr="00814A59">
        <w:trPr>
          <w:trHeight w:val="227"/>
        </w:trPr>
        <w:tc>
          <w:tcPr>
            <w:tcW w:w="4058" w:type="dxa"/>
            <w:shd w:val="clear" w:color="auto" w:fill="auto"/>
            <w:vAlign w:val="center"/>
            <w:hideMark/>
          </w:tcPr>
          <w:p w14:paraId="03E67367"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 xml:space="preserve">Coppia con </w:t>
            </w:r>
            <w:proofErr w:type="gramStart"/>
            <w:r w:rsidRPr="004C1D16">
              <w:rPr>
                <w:rFonts w:ascii="Arial Narrow" w:hAnsi="Arial Narrow"/>
                <w:color w:val="1F497D"/>
                <w:sz w:val="21"/>
                <w:szCs w:val="21"/>
              </w:rPr>
              <w:t>2</w:t>
            </w:r>
            <w:proofErr w:type="gramEnd"/>
            <w:r w:rsidRPr="004C1D16">
              <w:rPr>
                <w:rFonts w:ascii="Arial Narrow" w:hAnsi="Arial Narrow"/>
                <w:color w:val="1F497D"/>
                <w:sz w:val="21"/>
                <w:szCs w:val="21"/>
              </w:rPr>
              <w:t xml:space="preserve"> figli</w:t>
            </w:r>
          </w:p>
        </w:tc>
        <w:tc>
          <w:tcPr>
            <w:tcW w:w="1017" w:type="dxa"/>
            <w:shd w:val="clear" w:color="000000" w:fill="E6E6E6"/>
            <w:vAlign w:val="bottom"/>
            <w:hideMark/>
          </w:tcPr>
          <w:p w14:paraId="3AE5EB05" w14:textId="0F6389AA"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3.325,32</w:t>
            </w:r>
          </w:p>
        </w:tc>
        <w:tc>
          <w:tcPr>
            <w:tcW w:w="1016" w:type="dxa"/>
            <w:shd w:val="clear" w:color="auto" w:fill="auto"/>
            <w:vAlign w:val="bottom"/>
            <w:hideMark/>
          </w:tcPr>
          <w:p w14:paraId="2175E5ED" w14:textId="6D775C3D"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2,1</w:t>
            </w:r>
          </w:p>
        </w:tc>
        <w:tc>
          <w:tcPr>
            <w:tcW w:w="1017" w:type="dxa"/>
            <w:shd w:val="clear" w:color="000000" w:fill="E6E6E6"/>
            <w:vAlign w:val="bottom"/>
            <w:hideMark/>
          </w:tcPr>
          <w:p w14:paraId="43027709" w14:textId="22A05C7A"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2.934,97</w:t>
            </w:r>
          </w:p>
        </w:tc>
        <w:tc>
          <w:tcPr>
            <w:tcW w:w="1016" w:type="dxa"/>
            <w:shd w:val="clear" w:color="auto" w:fill="auto"/>
            <w:vAlign w:val="bottom"/>
            <w:hideMark/>
          </w:tcPr>
          <w:p w14:paraId="509D681D" w14:textId="7CC99709"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1,9</w:t>
            </w:r>
          </w:p>
        </w:tc>
        <w:tc>
          <w:tcPr>
            <w:tcW w:w="2025" w:type="dxa"/>
            <w:shd w:val="clear" w:color="auto" w:fill="auto"/>
            <w:vAlign w:val="bottom"/>
          </w:tcPr>
          <w:p w14:paraId="41B00431" w14:textId="7F8EAA8D"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6282C0AF" w14:textId="77777777" w:rsidTr="00814A59">
        <w:trPr>
          <w:trHeight w:val="227"/>
        </w:trPr>
        <w:tc>
          <w:tcPr>
            <w:tcW w:w="4058" w:type="dxa"/>
            <w:shd w:val="clear" w:color="auto" w:fill="auto"/>
            <w:vAlign w:val="center"/>
            <w:hideMark/>
          </w:tcPr>
          <w:p w14:paraId="708131EC"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 xml:space="preserve">Coppia con </w:t>
            </w:r>
            <w:proofErr w:type="gramStart"/>
            <w:r w:rsidRPr="004C1D16">
              <w:rPr>
                <w:rFonts w:ascii="Arial Narrow" w:hAnsi="Arial Narrow"/>
                <w:color w:val="1F497D"/>
                <w:sz w:val="21"/>
                <w:szCs w:val="21"/>
              </w:rPr>
              <w:t>3</w:t>
            </w:r>
            <w:proofErr w:type="gramEnd"/>
            <w:r w:rsidRPr="004C1D16">
              <w:rPr>
                <w:rFonts w:ascii="Arial Narrow" w:hAnsi="Arial Narrow"/>
                <w:color w:val="1F497D"/>
                <w:sz w:val="21"/>
                <w:szCs w:val="21"/>
              </w:rPr>
              <w:t xml:space="preserve"> e più figli</w:t>
            </w:r>
          </w:p>
        </w:tc>
        <w:tc>
          <w:tcPr>
            <w:tcW w:w="1017" w:type="dxa"/>
            <w:shd w:val="clear" w:color="000000" w:fill="E6E6E6"/>
            <w:vAlign w:val="bottom"/>
            <w:hideMark/>
          </w:tcPr>
          <w:p w14:paraId="27652A0A" w14:textId="6F77A4AB"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3.481,03</w:t>
            </w:r>
          </w:p>
        </w:tc>
        <w:tc>
          <w:tcPr>
            <w:tcW w:w="1016" w:type="dxa"/>
            <w:shd w:val="clear" w:color="auto" w:fill="auto"/>
            <w:vAlign w:val="bottom"/>
            <w:hideMark/>
          </w:tcPr>
          <w:p w14:paraId="6F0A8C7C" w14:textId="6949C172"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4,4</w:t>
            </w:r>
          </w:p>
        </w:tc>
        <w:tc>
          <w:tcPr>
            <w:tcW w:w="1017" w:type="dxa"/>
            <w:shd w:val="clear" w:color="000000" w:fill="E6E6E6"/>
            <w:vAlign w:val="bottom"/>
            <w:hideMark/>
          </w:tcPr>
          <w:p w14:paraId="02BC5C80" w14:textId="7D087ECC"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3.086,49</w:t>
            </w:r>
          </w:p>
        </w:tc>
        <w:tc>
          <w:tcPr>
            <w:tcW w:w="1016" w:type="dxa"/>
            <w:shd w:val="clear" w:color="auto" w:fill="auto"/>
            <w:vAlign w:val="bottom"/>
            <w:hideMark/>
          </w:tcPr>
          <w:p w14:paraId="0F3539C0" w14:textId="48DD6C84"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4,3</w:t>
            </w:r>
          </w:p>
        </w:tc>
        <w:tc>
          <w:tcPr>
            <w:tcW w:w="2025" w:type="dxa"/>
            <w:shd w:val="clear" w:color="auto" w:fill="auto"/>
            <w:vAlign w:val="bottom"/>
          </w:tcPr>
          <w:p w14:paraId="07F5246B" w14:textId="1F31E0E1"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72AA8EC6" w14:textId="77777777" w:rsidTr="00814A59">
        <w:trPr>
          <w:trHeight w:val="227"/>
        </w:trPr>
        <w:tc>
          <w:tcPr>
            <w:tcW w:w="4058" w:type="dxa"/>
            <w:shd w:val="clear" w:color="auto" w:fill="auto"/>
            <w:vAlign w:val="center"/>
            <w:hideMark/>
          </w:tcPr>
          <w:p w14:paraId="4D26F308"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Monogenitore</w:t>
            </w:r>
          </w:p>
        </w:tc>
        <w:tc>
          <w:tcPr>
            <w:tcW w:w="1017" w:type="dxa"/>
            <w:shd w:val="clear" w:color="000000" w:fill="E6E6E6"/>
            <w:vAlign w:val="bottom"/>
            <w:hideMark/>
          </w:tcPr>
          <w:p w14:paraId="6A46649A" w14:textId="073CE41A"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2.447,49</w:t>
            </w:r>
          </w:p>
        </w:tc>
        <w:tc>
          <w:tcPr>
            <w:tcW w:w="1016" w:type="dxa"/>
            <w:shd w:val="clear" w:color="auto" w:fill="auto"/>
            <w:vAlign w:val="bottom"/>
            <w:hideMark/>
          </w:tcPr>
          <w:p w14:paraId="298E5AF6" w14:textId="28712E4F"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3,4</w:t>
            </w:r>
          </w:p>
        </w:tc>
        <w:tc>
          <w:tcPr>
            <w:tcW w:w="1017" w:type="dxa"/>
            <w:shd w:val="clear" w:color="000000" w:fill="E6E6E6"/>
            <w:vAlign w:val="bottom"/>
            <w:hideMark/>
          </w:tcPr>
          <w:p w14:paraId="5544623D" w14:textId="49F54714"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2.222,09</w:t>
            </w:r>
          </w:p>
        </w:tc>
        <w:tc>
          <w:tcPr>
            <w:tcW w:w="1016" w:type="dxa"/>
            <w:shd w:val="clear" w:color="auto" w:fill="auto"/>
            <w:vAlign w:val="bottom"/>
            <w:hideMark/>
          </w:tcPr>
          <w:p w14:paraId="3B7993F4" w14:textId="47A06746"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2,7</w:t>
            </w:r>
          </w:p>
        </w:tc>
        <w:tc>
          <w:tcPr>
            <w:tcW w:w="2025" w:type="dxa"/>
            <w:shd w:val="clear" w:color="auto" w:fill="auto"/>
            <w:vAlign w:val="bottom"/>
          </w:tcPr>
          <w:p w14:paraId="422DD0A8" w14:textId="578CE2BE"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62606B14" w14:textId="77777777" w:rsidTr="00814A59">
        <w:trPr>
          <w:trHeight w:val="227"/>
        </w:trPr>
        <w:tc>
          <w:tcPr>
            <w:tcW w:w="4058" w:type="dxa"/>
            <w:shd w:val="clear" w:color="auto" w:fill="auto"/>
            <w:vAlign w:val="center"/>
            <w:hideMark/>
          </w:tcPr>
          <w:p w14:paraId="143448A7"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Altre tipologie</w:t>
            </w:r>
          </w:p>
        </w:tc>
        <w:tc>
          <w:tcPr>
            <w:tcW w:w="1017" w:type="dxa"/>
            <w:shd w:val="clear" w:color="000000" w:fill="E6E6E6"/>
            <w:vAlign w:val="bottom"/>
            <w:hideMark/>
          </w:tcPr>
          <w:p w14:paraId="34D3F8C6" w14:textId="3E0139D5"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2.783,59</w:t>
            </w:r>
          </w:p>
        </w:tc>
        <w:tc>
          <w:tcPr>
            <w:tcW w:w="1016" w:type="dxa"/>
            <w:shd w:val="clear" w:color="auto" w:fill="auto"/>
            <w:vAlign w:val="bottom"/>
            <w:hideMark/>
          </w:tcPr>
          <w:p w14:paraId="42FB900F" w14:textId="3C81E970" w:rsidR="004A380F" w:rsidRPr="004C1D16" w:rsidRDefault="004A380F" w:rsidP="004A380F">
            <w:pPr>
              <w:spacing w:before="40" w:after="20"/>
              <w:jc w:val="center"/>
              <w:rPr>
                <w:rFonts w:ascii="Arial Narrow" w:hAnsi="Arial Narrow"/>
                <w:color w:val="000000"/>
                <w:sz w:val="21"/>
                <w:szCs w:val="21"/>
              </w:rPr>
            </w:pPr>
            <w:r w:rsidRPr="004C1D16">
              <w:rPr>
                <w:rFonts w:ascii="Arial Narrow" w:hAnsi="Arial Narrow"/>
                <w:color w:val="1F497D"/>
                <w:sz w:val="21"/>
                <w:szCs w:val="21"/>
              </w:rPr>
              <w:t>3,5</w:t>
            </w:r>
          </w:p>
        </w:tc>
        <w:tc>
          <w:tcPr>
            <w:tcW w:w="1017" w:type="dxa"/>
            <w:shd w:val="clear" w:color="000000" w:fill="E6E6E6"/>
            <w:vAlign w:val="bottom"/>
            <w:hideMark/>
          </w:tcPr>
          <w:p w14:paraId="47D257E8" w14:textId="61B4A48D"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2.550,26</w:t>
            </w:r>
          </w:p>
        </w:tc>
        <w:tc>
          <w:tcPr>
            <w:tcW w:w="1016" w:type="dxa"/>
            <w:shd w:val="clear" w:color="auto" w:fill="auto"/>
            <w:vAlign w:val="bottom"/>
            <w:hideMark/>
          </w:tcPr>
          <w:p w14:paraId="6B832B8E" w14:textId="43FD1005"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3,4</w:t>
            </w:r>
          </w:p>
        </w:tc>
        <w:tc>
          <w:tcPr>
            <w:tcW w:w="2025" w:type="dxa"/>
            <w:shd w:val="clear" w:color="auto" w:fill="auto"/>
            <w:vAlign w:val="bottom"/>
          </w:tcPr>
          <w:p w14:paraId="222AE358" w14:textId="52E3660B"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BB6DA6" w:rsidRPr="004C1D16" w14:paraId="3A58BBB0" w14:textId="77777777" w:rsidTr="00814A59">
        <w:trPr>
          <w:trHeight w:val="227"/>
        </w:trPr>
        <w:tc>
          <w:tcPr>
            <w:tcW w:w="4058" w:type="dxa"/>
            <w:shd w:val="clear" w:color="000000" w:fill="1F497D"/>
            <w:vAlign w:val="center"/>
            <w:hideMark/>
          </w:tcPr>
          <w:p w14:paraId="27F8BC61" w14:textId="77777777" w:rsidR="00BB6DA6" w:rsidRPr="004C1D16" w:rsidRDefault="00BB6DA6" w:rsidP="00BB6DA6">
            <w:pPr>
              <w:spacing w:before="40" w:after="20"/>
              <w:rPr>
                <w:rFonts w:ascii="Arial Narrow" w:hAnsi="Arial Narrow"/>
                <w:b/>
                <w:bCs/>
                <w:color w:val="FFFFFF"/>
                <w:sz w:val="21"/>
                <w:szCs w:val="21"/>
              </w:rPr>
            </w:pPr>
            <w:r w:rsidRPr="004C1D16">
              <w:rPr>
                <w:rFonts w:ascii="Arial Narrow" w:hAnsi="Arial Narrow"/>
                <w:b/>
                <w:bCs/>
                <w:color w:val="FFFFFF"/>
                <w:sz w:val="21"/>
                <w:szCs w:val="21"/>
              </w:rPr>
              <w:t>Condizione professionale della persona di riferimento</w:t>
            </w:r>
          </w:p>
        </w:tc>
        <w:tc>
          <w:tcPr>
            <w:tcW w:w="1017" w:type="dxa"/>
            <w:shd w:val="clear" w:color="000000" w:fill="1F497D"/>
            <w:vAlign w:val="center"/>
            <w:hideMark/>
          </w:tcPr>
          <w:p w14:paraId="0C5F8E1D" w14:textId="40657555" w:rsidR="00BB6DA6" w:rsidRPr="004C1D16" w:rsidRDefault="00BB6DA6" w:rsidP="00BB6DA6">
            <w:pPr>
              <w:spacing w:before="40" w:after="20"/>
              <w:jc w:val="right"/>
              <w:rPr>
                <w:rFonts w:ascii="Arial Narrow" w:hAnsi="Arial Narrow"/>
                <w:b/>
                <w:bCs/>
                <w:color w:val="FFFFFF"/>
                <w:sz w:val="21"/>
                <w:szCs w:val="21"/>
              </w:rPr>
            </w:pPr>
          </w:p>
        </w:tc>
        <w:tc>
          <w:tcPr>
            <w:tcW w:w="1016" w:type="dxa"/>
            <w:shd w:val="clear" w:color="000000" w:fill="1F497D"/>
            <w:vAlign w:val="center"/>
            <w:hideMark/>
          </w:tcPr>
          <w:p w14:paraId="48DB9CD7" w14:textId="0F531699" w:rsidR="00BB6DA6" w:rsidRPr="004C1D16" w:rsidRDefault="00BB6DA6" w:rsidP="00BB6DA6">
            <w:pPr>
              <w:spacing w:before="40" w:after="20"/>
              <w:jc w:val="center"/>
              <w:rPr>
                <w:rFonts w:ascii="Arial Narrow" w:hAnsi="Arial Narrow"/>
                <w:b/>
                <w:bCs/>
                <w:color w:val="FFFFFF"/>
                <w:sz w:val="21"/>
                <w:szCs w:val="21"/>
              </w:rPr>
            </w:pPr>
          </w:p>
        </w:tc>
        <w:tc>
          <w:tcPr>
            <w:tcW w:w="1017" w:type="dxa"/>
            <w:shd w:val="clear" w:color="000000" w:fill="1F497D"/>
            <w:vAlign w:val="center"/>
            <w:hideMark/>
          </w:tcPr>
          <w:p w14:paraId="2C1CC7B0" w14:textId="7FD319E3" w:rsidR="00BB6DA6" w:rsidRPr="004C1D16" w:rsidRDefault="00BB6DA6" w:rsidP="00BB6DA6">
            <w:pPr>
              <w:spacing w:before="40" w:after="20"/>
              <w:jc w:val="center"/>
              <w:rPr>
                <w:rFonts w:ascii="Arial Narrow" w:hAnsi="Arial Narrow"/>
                <w:b/>
                <w:bCs/>
                <w:color w:val="FFFFFF"/>
                <w:sz w:val="21"/>
                <w:szCs w:val="21"/>
                <w:highlight w:val="yellow"/>
              </w:rPr>
            </w:pPr>
          </w:p>
        </w:tc>
        <w:tc>
          <w:tcPr>
            <w:tcW w:w="1016" w:type="dxa"/>
            <w:shd w:val="clear" w:color="000000" w:fill="1F497D"/>
            <w:vAlign w:val="center"/>
            <w:hideMark/>
          </w:tcPr>
          <w:p w14:paraId="67256DC5" w14:textId="60951ED6" w:rsidR="00BB6DA6" w:rsidRPr="004C1D16" w:rsidRDefault="00BB6DA6" w:rsidP="00BB6DA6">
            <w:pPr>
              <w:spacing w:before="40" w:after="20"/>
              <w:jc w:val="center"/>
              <w:rPr>
                <w:rFonts w:ascii="Arial Narrow" w:hAnsi="Arial Narrow"/>
                <w:b/>
                <w:bCs/>
                <w:color w:val="FFFFFF"/>
                <w:sz w:val="21"/>
                <w:szCs w:val="21"/>
                <w:highlight w:val="yellow"/>
              </w:rPr>
            </w:pPr>
          </w:p>
        </w:tc>
        <w:tc>
          <w:tcPr>
            <w:tcW w:w="2025" w:type="dxa"/>
            <w:shd w:val="clear" w:color="000000" w:fill="1F497D"/>
            <w:vAlign w:val="bottom"/>
          </w:tcPr>
          <w:p w14:paraId="21F11FAC" w14:textId="16310782" w:rsidR="00BB6DA6" w:rsidRPr="004C1D16" w:rsidRDefault="00BB6DA6" w:rsidP="00814A59">
            <w:pPr>
              <w:spacing w:before="40" w:after="20"/>
              <w:jc w:val="center"/>
              <w:rPr>
                <w:rFonts w:ascii="Arial Narrow" w:hAnsi="Arial Narrow"/>
                <w:b/>
                <w:bCs/>
                <w:color w:val="FFFFFF"/>
                <w:sz w:val="21"/>
                <w:szCs w:val="21"/>
              </w:rPr>
            </w:pPr>
          </w:p>
        </w:tc>
      </w:tr>
      <w:tr w:rsidR="004A380F" w:rsidRPr="004C1D16" w14:paraId="6A7D1BE4" w14:textId="77777777" w:rsidTr="00814A59">
        <w:trPr>
          <w:trHeight w:val="227"/>
        </w:trPr>
        <w:tc>
          <w:tcPr>
            <w:tcW w:w="4058" w:type="dxa"/>
            <w:shd w:val="clear" w:color="auto" w:fill="auto"/>
            <w:vAlign w:val="center"/>
            <w:hideMark/>
          </w:tcPr>
          <w:p w14:paraId="79251D3C"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Dirigente, quadro e impiegato</w:t>
            </w:r>
          </w:p>
        </w:tc>
        <w:tc>
          <w:tcPr>
            <w:tcW w:w="1017" w:type="dxa"/>
            <w:shd w:val="clear" w:color="000000" w:fill="E6E6E6"/>
            <w:vAlign w:val="bottom"/>
            <w:hideMark/>
          </w:tcPr>
          <w:p w14:paraId="1FDF7FE2" w14:textId="6CD7D54D"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3.272,57</w:t>
            </w:r>
          </w:p>
        </w:tc>
        <w:tc>
          <w:tcPr>
            <w:tcW w:w="1016" w:type="dxa"/>
            <w:shd w:val="clear" w:color="auto" w:fill="auto"/>
            <w:vAlign w:val="bottom"/>
            <w:hideMark/>
          </w:tcPr>
          <w:p w14:paraId="5C39C8F5" w14:textId="4EE65DE4"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1,4</w:t>
            </w:r>
          </w:p>
        </w:tc>
        <w:tc>
          <w:tcPr>
            <w:tcW w:w="1017" w:type="dxa"/>
            <w:shd w:val="clear" w:color="000000" w:fill="E6E6E6"/>
            <w:vAlign w:val="bottom"/>
            <w:hideMark/>
          </w:tcPr>
          <w:p w14:paraId="2FDF4043" w14:textId="6A19B0B4"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2.949,24</w:t>
            </w:r>
          </w:p>
        </w:tc>
        <w:tc>
          <w:tcPr>
            <w:tcW w:w="1016" w:type="dxa"/>
            <w:shd w:val="clear" w:color="auto" w:fill="auto"/>
            <w:vAlign w:val="bottom"/>
            <w:hideMark/>
          </w:tcPr>
          <w:p w14:paraId="22B11B57" w14:textId="20D4246D"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1,2</w:t>
            </w:r>
          </w:p>
        </w:tc>
        <w:tc>
          <w:tcPr>
            <w:tcW w:w="2025" w:type="dxa"/>
            <w:shd w:val="clear" w:color="auto" w:fill="auto"/>
            <w:vAlign w:val="bottom"/>
          </w:tcPr>
          <w:p w14:paraId="7F7299A4" w14:textId="78CE97B9"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2E56CF32" w14:textId="77777777" w:rsidTr="00814A59">
        <w:trPr>
          <w:trHeight w:val="227"/>
        </w:trPr>
        <w:tc>
          <w:tcPr>
            <w:tcW w:w="4058" w:type="dxa"/>
            <w:shd w:val="clear" w:color="auto" w:fill="auto"/>
            <w:vAlign w:val="center"/>
            <w:hideMark/>
          </w:tcPr>
          <w:p w14:paraId="5CA3E8A5"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Operaio e assimilato</w:t>
            </w:r>
          </w:p>
        </w:tc>
        <w:tc>
          <w:tcPr>
            <w:tcW w:w="1017" w:type="dxa"/>
            <w:shd w:val="clear" w:color="000000" w:fill="E6E6E6"/>
            <w:vAlign w:val="bottom"/>
            <w:hideMark/>
          </w:tcPr>
          <w:p w14:paraId="1720F496" w14:textId="6051F429"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2.321,38</w:t>
            </w:r>
          </w:p>
        </w:tc>
        <w:tc>
          <w:tcPr>
            <w:tcW w:w="1016" w:type="dxa"/>
            <w:shd w:val="clear" w:color="auto" w:fill="auto"/>
            <w:vAlign w:val="bottom"/>
            <w:hideMark/>
          </w:tcPr>
          <w:p w14:paraId="6653CE85" w14:textId="71598B4B"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1,4</w:t>
            </w:r>
          </w:p>
        </w:tc>
        <w:tc>
          <w:tcPr>
            <w:tcW w:w="1017" w:type="dxa"/>
            <w:shd w:val="clear" w:color="000000" w:fill="E6E6E6"/>
            <w:vAlign w:val="bottom"/>
            <w:hideMark/>
          </w:tcPr>
          <w:p w14:paraId="3826AEB7" w14:textId="769CD06A"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2.135,31</w:t>
            </w:r>
          </w:p>
        </w:tc>
        <w:tc>
          <w:tcPr>
            <w:tcW w:w="1016" w:type="dxa"/>
            <w:shd w:val="clear" w:color="auto" w:fill="auto"/>
            <w:vAlign w:val="bottom"/>
            <w:hideMark/>
          </w:tcPr>
          <w:p w14:paraId="3F09799F" w14:textId="37BCDDC9"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1,4</w:t>
            </w:r>
          </w:p>
        </w:tc>
        <w:tc>
          <w:tcPr>
            <w:tcW w:w="2025" w:type="dxa"/>
            <w:shd w:val="clear" w:color="auto" w:fill="auto"/>
            <w:vAlign w:val="bottom"/>
          </w:tcPr>
          <w:p w14:paraId="698BAC1D" w14:textId="289F8B58"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63ADF799" w14:textId="77777777" w:rsidTr="00814A59">
        <w:trPr>
          <w:trHeight w:val="227"/>
        </w:trPr>
        <w:tc>
          <w:tcPr>
            <w:tcW w:w="4058" w:type="dxa"/>
            <w:shd w:val="clear" w:color="auto" w:fill="auto"/>
            <w:vAlign w:val="center"/>
            <w:hideMark/>
          </w:tcPr>
          <w:p w14:paraId="535771E7"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Imprenditore e libero professionista</w:t>
            </w:r>
          </w:p>
        </w:tc>
        <w:tc>
          <w:tcPr>
            <w:tcW w:w="1017" w:type="dxa"/>
            <w:shd w:val="clear" w:color="000000" w:fill="E6E6E6"/>
            <w:vAlign w:val="bottom"/>
            <w:hideMark/>
          </w:tcPr>
          <w:p w14:paraId="5CB9825C" w14:textId="58CDFD38"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3.917,61</w:t>
            </w:r>
          </w:p>
        </w:tc>
        <w:tc>
          <w:tcPr>
            <w:tcW w:w="1016" w:type="dxa"/>
            <w:shd w:val="clear" w:color="auto" w:fill="auto"/>
            <w:vAlign w:val="bottom"/>
            <w:hideMark/>
          </w:tcPr>
          <w:p w14:paraId="53CADC49" w14:textId="2878B3C6"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3,2</w:t>
            </w:r>
          </w:p>
        </w:tc>
        <w:tc>
          <w:tcPr>
            <w:tcW w:w="1017" w:type="dxa"/>
            <w:shd w:val="clear" w:color="000000" w:fill="E6E6E6"/>
            <w:vAlign w:val="bottom"/>
            <w:hideMark/>
          </w:tcPr>
          <w:p w14:paraId="2871C6B2" w14:textId="78F46957"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3.470,92</w:t>
            </w:r>
          </w:p>
        </w:tc>
        <w:tc>
          <w:tcPr>
            <w:tcW w:w="1016" w:type="dxa"/>
            <w:shd w:val="clear" w:color="auto" w:fill="auto"/>
            <w:vAlign w:val="bottom"/>
            <w:hideMark/>
          </w:tcPr>
          <w:p w14:paraId="2FE05CE7" w14:textId="38D3E9C4"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2,6</w:t>
            </w:r>
          </w:p>
        </w:tc>
        <w:tc>
          <w:tcPr>
            <w:tcW w:w="2025" w:type="dxa"/>
            <w:shd w:val="clear" w:color="auto" w:fill="auto"/>
            <w:vAlign w:val="bottom"/>
          </w:tcPr>
          <w:p w14:paraId="4D58D346" w14:textId="0BB1819E"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4FBA35E9" w14:textId="77777777" w:rsidTr="00814A59">
        <w:trPr>
          <w:trHeight w:val="227"/>
        </w:trPr>
        <w:tc>
          <w:tcPr>
            <w:tcW w:w="4058" w:type="dxa"/>
            <w:shd w:val="clear" w:color="auto" w:fill="auto"/>
            <w:vAlign w:val="center"/>
            <w:hideMark/>
          </w:tcPr>
          <w:p w14:paraId="24009A40"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Altro indipendente</w:t>
            </w:r>
          </w:p>
        </w:tc>
        <w:tc>
          <w:tcPr>
            <w:tcW w:w="1017" w:type="dxa"/>
            <w:shd w:val="clear" w:color="000000" w:fill="E6E6E6"/>
            <w:vAlign w:val="bottom"/>
            <w:hideMark/>
          </w:tcPr>
          <w:p w14:paraId="462A51C8" w14:textId="39297488"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2.940,10</w:t>
            </w:r>
          </w:p>
        </w:tc>
        <w:tc>
          <w:tcPr>
            <w:tcW w:w="1016" w:type="dxa"/>
            <w:shd w:val="clear" w:color="auto" w:fill="auto"/>
            <w:vAlign w:val="bottom"/>
            <w:hideMark/>
          </w:tcPr>
          <w:p w14:paraId="609038E6" w14:textId="6D76C16B"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2,3</w:t>
            </w:r>
          </w:p>
        </w:tc>
        <w:tc>
          <w:tcPr>
            <w:tcW w:w="1017" w:type="dxa"/>
            <w:shd w:val="clear" w:color="000000" w:fill="E6E6E6"/>
            <w:vAlign w:val="bottom"/>
            <w:hideMark/>
          </w:tcPr>
          <w:p w14:paraId="17E3C831" w14:textId="537A321B"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2.647,41</w:t>
            </w:r>
          </w:p>
        </w:tc>
        <w:tc>
          <w:tcPr>
            <w:tcW w:w="1016" w:type="dxa"/>
            <w:shd w:val="clear" w:color="auto" w:fill="auto"/>
            <w:vAlign w:val="bottom"/>
            <w:hideMark/>
          </w:tcPr>
          <w:p w14:paraId="1883C437" w14:textId="27411247"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2,0</w:t>
            </w:r>
          </w:p>
        </w:tc>
        <w:tc>
          <w:tcPr>
            <w:tcW w:w="2025" w:type="dxa"/>
            <w:shd w:val="clear" w:color="auto" w:fill="auto"/>
            <w:vAlign w:val="bottom"/>
          </w:tcPr>
          <w:p w14:paraId="120B1F3E" w14:textId="33C64B4A"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793689C9" w14:textId="77777777" w:rsidTr="00814A59">
        <w:trPr>
          <w:trHeight w:val="227"/>
        </w:trPr>
        <w:tc>
          <w:tcPr>
            <w:tcW w:w="4058" w:type="dxa"/>
            <w:shd w:val="clear" w:color="auto" w:fill="auto"/>
            <w:vAlign w:val="center"/>
            <w:hideMark/>
          </w:tcPr>
          <w:p w14:paraId="35B301D0"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In cerca di occupazione</w:t>
            </w:r>
          </w:p>
        </w:tc>
        <w:tc>
          <w:tcPr>
            <w:tcW w:w="1017" w:type="dxa"/>
            <w:shd w:val="clear" w:color="000000" w:fill="E6E6E6"/>
            <w:vAlign w:val="bottom"/>
          </w:tcPr>
          <w:p w14:paraId="2F595E0F" w14:textId="5F175664"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1.852,89</w:t>
            </w:r>
          </w:p>
        </w:tc>
        <w:tc>
          <w:tcPr>
            <w:tcW w:w="1016" w:type="dxa"/>
            <w:shd w:val="clear" w:color="auto" w:fill="auto"/>
            <w:vAlign w:val="bottom"/>
          </w:tcPr>
          <w:p w14:paraId="127A2298" w14:textId="28D20D19"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4,3</w:t>
            </w:r>
          </w:p>
        </w:tc>
        <w:tc>
          <w:tcPr>
            <w:tcW w:w="1017" w:type="dxa"/>
            <w:shd w:val="clear" w:color="000000" w:fill="E6E6E6"/>
            <w:vAlign w:val="bottom"/>
            <w:hideMark/>
          </w:tcPr>
          <w:p w14:paraId="728DDD15" w14:textId="11E10742"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1.775,59</w:t>
            </w:r>
          </w:p>
        </w:tc>
        <w:tc>
          <w:tcPr>
            <w:tcW w:w="1016" w:type="dxa"/>
            <w:shd w:val="clear" w:color="auto" w:fill="auto"/>
            <w:vAlign w:val="bottom"/>
            <w:hideMark/>
          </w:tcPr>
          <w:p w14:paraId="476773DA" w14:textId="29ACEA45"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3,7</w:t>
            </w:r>
          </w:p>
        </w:tc>
        <w:tc>
          <w:tcPr>
            <w:tcW w:w="2025" w:type="dxa"/>
            <w:shd w:val="clear" w:color="auto" w:fill="auto"/>
            <w:vAlign w:val="bottom"/>
          </w:tcPr>
          <w:p w14:paraId="66D44A62" w14:textId="2E724F92" w:rsidR="004A380F" w:rsidRPr="004C1D16" w:rsidRDefault="004A380F" w:rsidP="00814A59">
            <w:pPr>
              <w:spacing w:before="40" w:after="20"/>
              <w:jc w:val="center"/>
              <w:rPr>
                <w:rFonts w:ascii="Arial Narrow" w:hAnsi="Arial Narrow"/>
                <w:color w:val="1F497D"/>
                <w:sz w:val="21"/>
                <w:szCs w:val="21"/>
              </w:rPr>
            </w:pPr>
          </w:p>
        </w:tc>
      </w:tr>
      <w:tr w:rsidR="004A380F" w:rsidRPr="004C1D16" w14:paraId="2EB2ADE0" w14:textId="77777777" w:rsidTr="00814A59">
        <w:trPr>
          <w:trHeight w:val="227"/>
        </w:trPr>
        <w:tc>
          <w:tcPr>
            <w:tcW w:w="4058" w:type="dxa"/>
            <w:shd w:val="clear" w:color="auto" w:fill="auto"/>
            <w:vAlign w:val="center"/>
            <w:hideMark/>
          </w:tcPr>
          <w:p w14:paraId="3C50CB59"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Ritirato dal lavoro</w:t>
            </w:r>
          </w:p>
        </w:tc>
        <w:tc>
          <w:tcPr>
            <w:tcW w:w="1017" w:type="dxa"/>
            <w:shd w:val="clear" w:color="000000" w:fill="E6E6E6"/>
            <w:vAlign w:val="bottom"/>
          </w:tcPr>
          <w:p w14:paraId="0295DB65" w14:textId="384733B0"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2.354,50</w:t>
            </w:r>
          </w:p>
        </w:tc>
        <w:tc>
          <w:tcPr>
            <w:tcW w:w="1016" w:type="dxa"/>
            <w:shd w:val="clear" w:color="auto" w:fill="auto"/>
            <w:vAlign w:val="bottom"/>
          </w:tcPr>
          <w:p w14:paraId="4A0E5ECC" w14:textId="148BD0B7"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1,1</w:t>
            </w:r>
          </w:p>
        </w:tc>
        <w:tc>
          <w:tcPr>
            <w:tcW w:w="1017" w:type="dxa"/>
            <w:shd w:val="clear" w:color="000000" w:fill="E6E6E6"/>
            <w:vAlign w:val="bottom"/>
            <w:hideMark/>
          </w:tcPr>
          <w:p w14:paraId="24579F4A" w14:textId="00E03377"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2.151,45</w:t>
            </w:r>
          </w:p>
        </w:tc>
        <w:tc>
          <w:tcPr>
            <w:tcW w:w="1016" w:type="dxa"/>
            <w:shd w:val="clear" w:color="auto" w:fill="auto"/>
            <w:vAlign w:val="bottom"/>
            <w:hideMark/>
          </w:tcPr>
          <w:p w14:paraId="5086A8EE" w14:textId="3C182FC8"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1,0</w:t>
            </w:r>
          </w:p>
        </w:tc>
        <w:tc>
          <w:tcPr>
            <w:tcW w:w="2025" w:type="dxa"/>
            <w:shd w:val="clear" w:color="auto" w:fill="auto"/>
            <w:vAlign w:val="bottom"/>
          </w:tcPr>
          <w:p w14:paraId="590BA480" w14:textId="594314E5"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4A380F" w:rsidRPr="004C1D16" w14:paraId="421AE5FC" w14:textId="77777777" w:rsidTr="00814A59">
        <w:trPr>
          <w:trHeight w:val="227"/>
        </w:trPr>
        <w:tc>
          <w:tcPr>
            <w:tcW w:w="4058" w:type="dxa"/>
            <w:shd w:val="clear" w:color="auto" w:fill="auto"/>
            <w:vAlign w:val="center"/>
            <w:hideMark/>
          </w:tcPr>
          <w:p w14:paraId="17C52905" w14:textId="77777777" w:rsidR="004A380F" w:rsidRPr="004C1D16" w:rsidRDefault="004A380F" w:rsidP="004A380F">
            <w:pPr>
              <w:spacing w:before="40" w:after="20"/>
              <w:rPr>
                <w:rFonts w:ascii="Arial Narrow" w:hAnsi="Arial Narrow"/>
                <w:color w:val="1F497D"/>
                <w:sz w:val="21"/>
                <w:szCs w:val="21"/>
              </w:rPr>
            </w:pPr>
            <w:r w:rsidRPr="004C1D16">
              <w:rPr>
                <w:rFonts w:ascii="Arial Narrow" w:hAnsi="Arial Narrow"/>
                <w:color w:val="1F497D"/>
                <w:sz w:val="21"/>
                <w:szCs w:val="21"/>
              </w:rPr>
              <w:t>In altra condizione (diversa da ritirato dal lavoro)</w:t>
            </w:r>
          </w:p>
        </w:tc>
        <w:tc>
          <w:tcPr>
            <w:tcW w:w="1017" w:type="dxa"/>
            <w:shd w:val="clear" w:color="000000" w:fill="E6E6E6"/>
            <w:vAlign w:val="bottom"/>
            <w:hideMark/>
          </w:tcPr>
          <w:p w14:paraId="01C3529A" w14:textId="789B1154"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1.805,27</w:t>
            </w:r>
          </w:p>
        </w:tc>
        <w:tc>
          <w:tcPr>
            <w:tcW w:w="1016" w:type="dxa"/>
            <w:shd w:val="clear" w:color="auto" w:fill="auto"/>
            <w:vAlign w:val="bottom"/>
            <w:hideMark/>
          </w:tcPr>
          <w:p w14:paraId="3D4490BF" w14:textId="188A23AF"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2,6</w:t>
            </w:r>
          </w:p>
        </w:tc>
        <w:tc>
          <w:tcPr>
            <w:tcW w:w="1017" w:type="dxa"/>
            <w:shd w:val="clear" w:color="000000" w:fill="E6E6E6"/>
            <w:vAlign w:val="bottom"/>
            <w:hideMark/>
          </w:tcPr>
          <w:p w14:paraId="0A71CF13" w14:textId="34231075" w:rsidR="004A380F" w:rsidRPr="004C1D16" w:rsidRDefault="004A380F" w:rsidP="004A380F">
            <w:pPr>
              <w:spacing w:before="40" w:after="20"/>
              <w:jc w:val="right"/>
              <w:rPr>
                <w:rFonts w:ascii="Arial Narrow" w:hAnsi="Arial Narrow"/>
                <w:color w:val="1F497D"/>
                <w:sz w:val="21"/>
                <w:szCs w:val="21"/>
              </w:rPr>
            </w:pPr>
            <w:r w:rsidRPr="004C1D16">
              <w:rPr>
                <w:rFonts w:ascii="Arial Narrow" w:hAnsi="Arial Narrow"/>
                <w:color w:val="1F497D"/>
                <w:sz w:val="21"/>
                <w:szCs w:val="21"/>
              </w:rPr>
              <w:t>1.676,59</w:t>
            </w:r>
          </w:p>
        </w:tc>
        <w:tc>
          <w:tcPr>
            <w:tcW w:w="1016" w:type="dxa"/>
            <w:shd w:val="clear" w:color="auto" w:fill="auto"/>
            <w:vAlign w:val="bottom"/>
            <w:hideMark/>
          </w:tcPr>
          <w:p w14:paraId="4B21D4A8" w14:textId="3F28796E" w:rsidR="004A380F" w:rsidRPr="004C1D16" w:rsidRDefault="004A380F" w:rsidP="004A380F">
            <w:pPr>
              <w:spacing w:before="40" w:after="20"/>
              <w:jc w:val="center"/>
              <w:rPr>
                <w:rFonts w:ascii="Arial Narrow" w:hAnsi="Arial Narrow"/>
                <w:color w:val="1F497D"/>
                <w:sz w:val="21"/>
                <w:szCs w:val="21"/>
              </w:rPr>
            </w:pPr>
            <w:r w:rsidRPr="004C1D16">
              <w:rPr>
                <w:rFonts w:ascii="Arial Narrow" w:hAnsi="Arial Narrow"/>
                <w:color w:val="1F497D"/>
                <w:sz w:val="21"/>
                <w:szCs w:val="21"/>
              </w:rPr>
              <w:t>2,3</w:t>
            </w:r>
          </w:p>
        </w:tc>
        <w:tc>
          <w:tcPr>
            <w:tcW w:w="2025" w:type="dxa"/>
            <w:shd w:val="clear" w:color="auto" w:fill="auto"/>
            <w:vAlign w:val="bottom"/>
          </w:tcPr>
          <w:p w14:paraId="6BE8192E" w14:textId="7D858C2D" w:rsidR="004A380F"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A910A0" w:rsidRPr="004C1D16" w14:paraId="0510F637" w14:textId="77777777" w:rsidTr="00814A59">
        <w:trPr>
          <w:trHeight w:val="227"/>
        </w:trPr>
        <w:tc>
          <w:tcPr>
            <w:tcW w:w="4058" w:type="dxa"/>
            <w:shd w:val="clear" w:color="000000" w:fill="1F497D"/>
            <w:vAlign w:val="center"/>
            <w:hideMark/>
          </w:tcPr>
          <w:p w14:paraId="1CF5BA28" w14:textId="77777777" w:rsidR="00A910A0" w:rsidRPr="004C1D16" w:rsidRDefault="00A910A0" w:rsidP="00A910A0">
            <w:pPr>
              <w:spacing w:before="40" w:after="20"/>
              <w:rPr>
                <w:rFonts w:ascii="Arial Narrow" w:hAnsi="Arial Narrow"/>
                <w:b/>
                <w:bCs/>
                <w:color w:val="FFFFFF" w:themeColor="background1"/>
                <w:sz w:val="21"/>
                <w:szCs w:val="21"/>
              </w:rPr>
            </w:pPr>
            <w:r w:rsidRPr="004C1D16">
              <w:rPr>
                <w:rFonts w:ascii="Arial Narrow" w:hAnsi="Arial Narrow"/>
                <w:b/>
                <w:bCs/>
                <w:color w:val="FFFFFF" w:themeColor="background1"/>
                <w:sz w:val="21"/>
                <w:szCs w:val="21"/>
              </w:rPr>
              <w:t>Titolo di studio della persona di riferimento</w:t>
            </w:r>
          </w:p>
        </w:tc>
        <w:tc>
          <w:tcPr>
            <w:tcW w:w="1017" w:type="dxa"/>
            <w:shd w:val="clear" w:color="000000" w:fill="1F497D"/>
            <w:vAlign w:val="center"/>
            <w:hideMark/>
          </w:tcPr>
          <w:p w14:paraId="19F3608F" w14:textId="565BE4CA" w:rsidR="00A910A0" w:rsidRPr="004C1D16" w:rsidRDefault="00A910A0" w:rsidP="00A910A0">
            <w:pPr>
              <w:spacing w:before="40" w:after="20"/>
              <w:jc w:val="right"/>
              <w:rPr>
                <w:rFonts w:ascii="Arial Narrow" w:hAnsi="Arial Narrow"/>
                <w:color w:val="FFFFFF" w:themeColor="background1"/>
                <w:sz w:val="21"/>
                <w:szCs w:val="21"/>
              </w:rPr>
            </w:pPr>
          </w:p>
        </w:tc>
        <w:tc>
          <w:tcPr>
            <w:tcW w:w="1016" w:type="dxa"/>
            <w:shd w:val="clear" w:color="000000" w:fill="1F497D"/>
            <w:vAlign w:val="center"/>
            <w:hideMark/>
          </w:tcPr>
          <w:p w14:paraId="28CC0121" w14:textId="1E64FED7" w:rsidR="00A910A0" w:rsidRPr="004C1D16" w:rsidRDefault="00A910A0" w:rsidP="00A910A0">
            <w:pPr>
              <w:spacing w:before="40" w:after="20"/>
              <w:jc w:val="center"/>
              <w:rPr>
                <w:rFonts w:ascii="Arial Narrow" w:hAnsi="Arial Narrow"/>
                <w:color w:val="FFFFFF" w:themeColor="background1"/>
                <w:sz w:val="21"/>
                <w:szCs w:val="21"/>
              </w:rPr>
            </w:pPr>
          </w:p>
        </w:tc>
        <w:tc>
          <w:tcPr>
            <w:tcW w:w="1017" w:type="dxa"/>
            <w:shd w:val="clear" w:color="000000" w:fill="1F497D"/>
            <w:vAlign w:val="center"/>
            <w:hideMark/>
          </w:tcPr>
          <w:p w14:paraId="355404CA" w14:textId="53CCDDDE" w:rsidR="00A910A0" w:rsidRPr="004C1D16" w:rsidRDefault="00A910A0" w:rsidP="00A910A0">
            <w:pPr>
              <w:spacing w:before="40" w:after="20"/>
              <w:jc w:val="center"/>
              <w:rPr>
                <w:rFonts w:ascii="Arial Narrow" w:hAnsi="Arial Narrow"/>
                <w:color w:val="FFFFFF" w:themeColor="background1"/>
                <w:sz w:val="21"/>
                <w:szCs w:val="21"/>
                <w:highlight w:val="yellow"/>
              </w:rPr>
            </w:pPr>
          </w:p>
        </w:tc>
        <w:tc>
          <w:tcPr>
            <w:tcW w:w="1016" w:type="dxa"/>
            <w:shd w:val="clear" w:color="000000" w:fill="1F497D"/>
            <w:vAlign w:val="center"/>
            <w:hideMark/>
          </w:tcPr>
          <w:p w14:paraId="73487CE4" w14:textId="75687D97" w:rsidR="00A910A0" w:rsidRPr="004C1D16" w:rsidRDefault="00A910A0" w:rsidP="00A910A0">
            <w:pPr>
              <w:spacing w:before="40" w:after="20"/>
              <w:jc w:val="center"/>
              <w:rPr>
                <w:rFonts w:ascii="Arial Narrow" w:hAnsi="Arial Narrow"/>
                <w:color w:val="FFFFFF" w:themeColor="background1"/>
                <w:sz w:val="21"/>
                <w:szCs w:val="21"/>
                <w:highlight w:val="yellow"/>
              </w:rPr>
            </w:pPr>
          </w:p>
        </w:tc>
        <w:tc>
          <w:tcPr>
            <w:tcW w:w="2025" w:type="dxa"/>
            <w:shd w:val="clear" w:color="000000" w:fill="1F497D"/>
            <w:vAlign w:val="bottom"/>
          </w:tcPr>
          <w:p w14:paraId="3EEC29EB" w14:textId="3B58BFFD" w:rsidR="00A910A0" w:rsidRPr="004C1D16" w:rsidRDefault="00A910A0" w:rsidP="00814A59">
            <w:pPr>
              <w:spacing w:before="40" w:after="20"/>
              <w:jc w:val="center"/>
              <w:rPr>
                <w:rFonts w:ascii="Arial Narrow" w:hAnsi="Arial Narrow"/>
                <w:color w:val="FFFFFF" w:themeColor="background1"/>
                <w:sz w:val="21"/>
                <w:szCs w:val="21"/>
              </w:rPr>
            </w:pPr>
          </w:p>
        </w:tc>
      </w:tr>
      <w:tr w:rsidR="00290F38" w:rsidRPr="004C1D16" w14:paraId="47EFE134" w14:textId="77777777" w:rsidTr="00814A59">
        <w:trPr>
          <w:trHeight w:val="227"/>
        </w:trPr>
        <w:tc>
          <w:tcPr>
            <w:tcW w:w="4058" w:type="dxa"/>
            <w:shd w:val="clear" w:color="auto" w:fill="auto"/>
            <w:vAlign w:val="center"/>
            <w:hideMark/>
          </w:tcPr>
          <w:p w14:paraId="76C24749" w14:textId="77777777"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Licenza di scuola elementare, nessun titolo di studio</w:t>
            </w:r>
          </w:p>
        </w:tc>
        <w:tc>
          <w:tcPr>
            <w:tcW w:w="1017" w:type="dxa"/>
            <w:shd w:val="clear" w:color="000000" w:fill="D9D9D9"/>
            <w:vAlign w:val="bottom"/>
            <w:hideMark/>
          </w:tcPr>
          <w:p w14:paraId="1635BB46" w14:textId="1F64F91A"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1.677,97</w:t>
            </w:r>
          </w:p>
        </w:tc>
        <w:tc>
          <w:tcPr>
            <w:tcW w:w="1016" w:type="dxa"/>
            <w:shd w:val="clear" w:color="auto" w:fill="auto"/>
            <w:vAlign w:val="bottom"/>
            <w:hideMark/>
          </w:tcPr>
          <w:p w14:paraId="265E3ABB" w14:textId="5FD868EC"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1,7</w:t>
            </w:r>
          </w:p>
        </w:tc>
        <w:tc>
          <w:tcPr>
            <w:tcW w:w="1017" w:type="dxa"/>
            <w:shd w:val="clear" w:color="000000" w:fill="D9D9D9"/>
            <w:vAlign w:val="bottom"/>
            <w:hideMark/>
          </w:tcPr>
          <w:p w14:paraId="07FFEAA8" w14:textId="56B04AF5"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1.595,81</w:t>
            </w:r>
          </w:p>
        </w:tc>
        <w:tc>
          <w:tcPr>
            <w:tcW w:w="1016" w:type="dxa"/>
            <w:shd w:val="clear" w:color="auto" w:fill="auto"/>
            <w:vAlign w:val="bottom"/>
            <w:hideMark/>
          </w:tcPr>
          <w:p w14:paraId="7FD9F6E2" w14:textId="773E1DF8"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1,6</w:t>
            </w:r>
          </w:p>
        </w:tc>
        <w:tc>
          <w:tcPr>
            <w:tcW w:w="2025" w:type="dxa"/>
            <w:shd w:val="clear" w:color="auto" w:fill="auto"/>
            <w:vAlign w:val="bottom"/>
          </w:tcPr>
          <w:p w14:paraId="67E143B8" w14:textId="6F176580" w:rsidR="00290F38"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229E5F77" w14:textId="77777777" w:rsidTr="00814A59">
        <w:trPr>
          <w:trHeight w:val="227"/>
        </w:trPr>
        <w:tc>
          <w:tcPr>
            <w:tcW w:w="4058" w:type="dxa"/>
            <w:shd w:val="clear" w:color="auto" w:fill="auto"/>
            <w:vAlign w:val="center"/>
            <w:hideMark/>
          </w:tcPr>
          <w:p w14:paraId="589F6F4A" w14:textId="77777777"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Licenza di scuola media</w:t>
            </w:r>
          </w:p>
        </w:tc>
        <w:tc>
          <w:tcPr>
            <w:tcW w:w="1017" w:type="dxa"/>
            <w:shd w:val="clear" w:color="000000" w:fill="D9D9D9"/>
            <w:vAlign w:val="bottom"/>
            <w:hideMark/>
          </w:tcPr>
          <w:p w14:paraId="777D5D32" w14:textId="43EF6024"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2.348,74</w:t>
            </w:r>
          </w:p>
        </w:tc>
        <w:tc>
          <w:tcPr>
            <w:tcW w:w="1016" w:type="dxa"/>
            <w:shd w:val="clear" w:color="auto" w:fill="auto"/>
            <w:vAlign w:val="bottom"/>
            <w:hideMark/>
          </w:tcPr>
          <w:p w14:paraId="1F6D35E9" w14:textId="559ABD45"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1,3</w:t>
            </w:r>
          </w:p>
        </w:tc>
        <w:tc>
          <w:tcPr>
            <w:tcW w:w="1017" w:type="dxa"/>
            <w:shd w:val="clear" w:color="000000" w:fill="D9D9D9"/>
            <w:vAlign w:val="bottom"/>
            <w:hideMark/>
          </w:tcPr>
          <w:p w14:paraId="3BB9F0F4" w14:textId="4438831A"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2.102,84</w:t>
            </w:r>
          </w:p>
        </w:tc>
        <w:tc>
          <w:tcPr>
            <w:tcW w:w="1016" w:type="dxa"/>
            <w:shd w:val="clear" w:color="auto" w:fill="auto"/>
            <w:vAlign w:val="bottom"/>
            <w:hideMark/>
          </w:tcPr>
          <w:p w14:paraId="675D9B27" w14:textId="28A1C1F5"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1,3</w:t>
            </w:r>
          </w:p>
        </w:tc>
        <w:tc>
          <w:tcPr>
            <w:tcW w:w="2025" w:type="dxa"/>
            <w:shd w:val="clear" w:color="auto" w:fill="auto"/>
            <w:vAlign w:val="bottom"/>
          </w:tcPr>
          <w:p w14:paraId="0D161132" w14:textId="6F9DD8CE" w:rsidR="00290F38"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631B4B37" w14:textId="77777777" w:rsidTr="00814A59">
        <w:trPr>
          <w:trHeight w:val="227"/>
        </w:trPr>
        <w:tc>
          <w:tcPr>
            <w:tcW w:w="4058" w:type="dxa"/>
            <w:shd w:val="clear" w:color="auto" w:fill="auto"/>
            <w:vAlign w:val="center"/>
            <w:hideMark/>
          </w:tcPr>
          <w:p w14:paraId="30C129D4" w14:textId="77777777"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Diploma di scuola secondaria superiore</w:t>
            </w:r>
          </w:p>
        </w:tc>
        <w:tc>
          <w:tcPr>
            <w:tcW w:w="1017" w:type="dxa"/>
            <w:shd w:val="clear" w:color="000000" w:fill="D9D9D9"/>
            <w:vAlign w:val="bottom"/>
            <w:hideMark/>
          </w:tcPr>
          <w:p w14:paraId="7D6E7C6F" w14:textId="59A3F7E2"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2.834,93</w:t>
            </w:r>
          </w:p>
        </w:tc>
        <w:tc>
          <w:tcPr>
            <w:tcW w:w="1016" w:type="dxa"/>
            <w:shd w:val="clear" w:color="auto" w:fill="auto"/>
            <w:vAlign w:val="bottom"/>
            <w:hideMark/>
          </w:tcPr>
          <w:p w14:paraId="12A8A709" w14:textId="269E68DB"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1,1</w:t>
            </w:r>
          </w:p>
        </w:tc>
        <w:tc>
          <w:tcPr>
            <w:tcW w:w="1017" w:type="dxa"/>
            <w:shd w:val="clear" w:color="000000" w:fill="D9D9D9"/>
            <w:vAlign w:val="bottom"/>
            <w:hideMark/>
          </w:tcPr>
          <w:p w14:paraId="6B1CCFB8" w14:textId="470A5E14"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2.549,29</w:t>
            </w:r>
          </w:p>
        </w:tc>
        <w:tc>
          <w:tcPr>
            <w:tcW w:w="1016" w:type="dxa"/>
            <w:shd w:val="clear" w:color="auto" w:fill="auto"/>
            <w:vAlign w:val="bottom"/>
            <w:hideMark/>
          </w:tcPr>
          <w:p w14:paraId="4B59C2AD" w14:textId="52779E63"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1,0</w:t>
            </w:r>
          </w:p>
        </w:tc>
        <w:tc>
          <w:tcPr>
            <w:tcW w:w="2025" w:type="dxa"/>
            <w:shd w:val="clear" w:color="auto" w:fill="auto"/>
            <w:vAlign w:val="bottom"/>
          </w:tcPr>
          <w:p w14:paraId="4D8E31DA" w14:textId="15935A0A" w:rsidR="00290F38"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06C7EA4F" w14:textId="77777777" w:rsidTr="00814A59">
        <w:trPr>
          <w:trHeight w:val="227"/>
        </w:trPr>
        <w:tc>
          <w:tcPr>
            <w:tcW w:w="4058" w:type="dxa"/>
            <w:shd w:val="clear" w:color="auto" w:fill="auto"/>
            <w:vAlign w:val="center"/>
            <w:hideMark/>
          </w:tcPr>
          <w:p w14:paraId="292160B6" w14:textId="77777777"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Laurea e post-laurea</w:t>
            </w:r>
          </w:p>
        </w:tc>
        <w:tc>
          <w:tcPr>
            <w:tcW w:w="1017" w:type="dxa"/>
            <w:shd w:val="clear" w:color="000000" w:fill="D9D9D9"/>
            <w:vAlign w:val="bottom"/>
            <w:hideMark/>
          </w:tcPr>
          <w:p w14:paraId="0087F6E5" w14:textId="1E290526"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3.586,75</w:t>
            </w:r>
          </w:p>
        </w:tc>
        <w:tc>
          <w:tcPr>
            <w:tcW w:w="1016" w:type="dxa"/>
            <w:shd w:val="clear" w:color="auto" w:fill="auto"/>
            <w:vAlign w:val="bottom"/>
            <w:hideMark/>
          </w:tcPr>
          <w:p w14:paraId="7B175B52" w14:textId="5E09158F"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1,8</w:t>
            </w:r>
          </w:p>
        </w:tc>
        <w:tc>
          <w:tcPr>
            <w:tcW w:w="1017" w:type="dxa"/>
            <w:shd w:val="clear" w:color="000000" w:fill="D9D9D9"/>
            <w:vAlign w:val="bottom"/>
            <w:hideMark/>
          </w:tcPr>
          <w:p w14:paraId="4A175878" w14:textId="73C7F2BD"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3.169,16</w:t>
            </w:r>
          </w:p>
        </w:tc>
        <w:tc>
          <w:tcPr>
            <w:tcW w:w="1016" w:type="dxa"/>
            <w:shd w:val="clear" w:color="auto" w:fill="auto"/>
            <w:vAlign w:val="bottom"/>
            <w:hideMark/>
          </w:tcPr>
          <w:p w14:paraId="7CA9C663" w14:textId="0189FD0E"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1,3</w:t>
            </w:r>
          </w:p>
        </w:tc>
        <w:tc>
          <w:tcPr>
            <w:tcW w:w="2025" w:type="dxa"/>
            <w:shd w:val="clear" w:color="auto" w:fill="auto"/>
            <w:vAlign w:val="bottom"/>
          </w:tcPr>
          <w:p w14:paraId="182CB928" w14:textId="50F1E735" w:rsidR="00290F38" w:rsidRPr="004C1D16" w:rsidRDefault="00DF5550"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A910A0" w:rsidRPr="004C1D16" w14:paraId="52517730" w14:textId="77777777" w:rsidTr="00814A59">
        <w:trPr>
          <w:trHeight w:val="227"/>
        </w:trPr>
        <w:tc>
          <w:tcPr>
            <w:tcW w:w="4058" w:type="dxa"/>
            <w:shd w:val="clear" w:color="000000" w:fill="1F497D"/>
            <w:vAlign w:val="center"/>
            <w:hideMark/>
          </w:tcPr>
          <w:p w14:paraId="3E7483B5" w14:textId="77777777" w:rsidR="00A910A0" w:rsidRPr="004C1D16" w:rsidRDefault="00A910A0" w:rsidP="00A910A0">
            <w:pPr>
              <w:spacing w:before="40" w:after="20"/>
              <w:rPr>
                <w:rFonts w:ascii="Arial Narrow" w:hAnsi="Arial Narrow"/>
                <w:b/>
                <w:bCs/>
                <w:color w:val="FFFFFF" w:themeColor="background1"/>
                <w:sz w:val="21"/>
                <w:szCs w:val="21"/>
              </w:rPr>
            </w:pPr>
            <w:r w:rsidRPr="004C1D16">
              <w:rPr>
                <w:rFonts w:ascii="Arial Narrow" w:hAnsi="Arial Narrow"/>
                <w:b/>
                <w:bCs/>
                <w:color w:val="FFFFFF" w:themeColor="background1"/>
                <w:sz w:val="21"/>
                <w:szCs w:val="21"/>
              </w:rPr>
              <w:t>Tipo di comune</w:t>
            </w:r>
          </w:p>
        </w:tc>
        <w:tc>
          <w:tcPr>
            <w:tcW w:w="1017" w:type="dxa"/>
            <w:shd w:val="clear" w:color="000000" w:fill="1F497D"/>
            <w:vAlign w:val="center"/>
            <w:hideMark/>
          </w:tcPr>
          <w:p w14:paraId="16ED9AA3" w14:textId="7D401D60" w:rsidR="00A910A0" w:rsidRPr="004C1D16" w:rsidRDefault="00A910A0" w:rsidP="00A910A0">
            <w:pPr>
              <w:spacing w:before="40" w:after="20"/>
              <w:jc w:val="right"/>
              <w:rPr>
                <w:rFonts w:ascii="Arial Narrow" w:hAnsi="Arial Narrow"/>
                <w:b/>
                <w:bCs/>
                <w:color w:val="FFFFFF" w:themeColor="background1"/>
                <w:sz w:val="21"/>
                <w:szCs w:val="21"/>
              </w:rPr>
            </w:pPr>
          </w:p>
        </w:tc>
        <w:tc>
          <w:tcPr>
            <w:tcW w:w="1016" w:type="dxa"/>
            <w:shd w:val="clear" w:color="000000" w:fill="1F497D"/>
            <w:vAlign w:val="center"/>
            <w:hideMark/>
          </w:tcPr>
          <w:p w14:paraId="34521790" w14:textId="1FB3F5BF" w:rsidR="00A910A0" w:rsidRPr="004C1D16" w:rsidRDefault="00A910A0" w:rsidP="00A910A0">
            <w:pPr>
              <w:spacing w:before="40" w:after="20"/>
              <w:jc w:val="center"/>
              <w:rPr>
                <w:rFonts w:ascii="Arial Narrow" w:hAnsi="Arial Narrow"/>
                <w:b/>
                <w:bCs/>
                <w:color w:val="FFFFFF" w:themeColor="background1"/>
                <w:sz w:val="21"/>
                <w:szCs w:val="21"/>
              </w:rPr>
            </w:pPr>
          </w:p>
        </w:tc>
        <w:tc>
          <w:tcPr>
            <w:tcW w:w="1017" w:type="dxa"/>
            <w:shd w:val="clear" w:color="000000" w:fill="1F497D"/>
            <w:vAlign w:val="center"/>
            <w:hideMark/>
          </w:tcPr>
          <w:p w14:paraId="4C5EB991" w14:textId="44A6F1EE" w:rsidR="00A910A0" w:rsidRPr="004C1D16" w:rsidRDefault="00A910A0" w:rsidP="00A910A0">
            <w:pPr>
              <w:spacing w:before="40" w:after="20"/>
              <w:jc w:val="center"/>
              <w:rPr>
                <w:rFonts w:ascii="Arial Narrow" w:hAnsi="Arial Narrow"/>
                <w:color w:val="FFFFFF" w:themeColor="background1"/>
                <w:sz w:val="21"/>
                <w:szCs w:val="21"/>
                <w:highlight w:val="yellow"/>
              </w:rPr>
            </w:pPr>
          </w:p>
        </w:tc>
        <w:tc>
          <w:tcPr>
            <w:tcW w:w="1016" w:type="dxa"/>
            <w:shd w:val="clear" w:color="000000" w:fill="1F497D"/>
            <w:vAlign w:val="center"/>
            <w:hideMark/>
          </w:tcPr>
          <w:p w14:paraId="6901C9BD" w14:textId="539C1CD7" w:rsidR="00A910A0" w:rsidRPr="004C1D16" w:rsidRDefault="00A910A0" w:rsidP="00A910A0">
            <w:pPr>
              <w:spacing w:before="40" w:after="20"/>
              <w:jc w:val="center"/>
              <w:rPr>
                <w:rFonts w:ascii="Arial Narrow" w:hAnsi="Arial Narrow"/>
                <w:b/>
                <w:bCs/>
                <w:color w:val="FFFFFF" w:themeColor="background1"/>
                <w:sz w:val="21"/>
                <w:szCs w:val="21"/>
                <w:highlight w:val="yellow"/>
              </w:rPr>
            </w:pPr>
          </w:p>
        </w:tc>
        <w:tc>
          <w:tcPr>
            <w:tcW w:w="2025" w:type="dxa"/>
            <w:shd w:val="clear" w:color="000000" w:fill="1F497D"/>
            <w:vAlign w:val="bottom"/>
          </w:tcPr>
          <w:p w14:paraId="04A53E3E" w14:textId="4268CAC3" w:rsidR="00A910A0" w:rsidRPr="004C1D16" w:rsidRDefault="00A910A0" w:rsidP="00814A59">
            <w:pPr>
              <w:spacing w:before="40" w:after="20"/>
              <w:jc w:val="center"/>
              <w:rPr>
                <w:rFonts w:ascii="Arial Narrow" w:hAnsi="Arial Narrow"/>
                <w:b/>
                <w:bCs/>
                <w:color w:val="FFFFFF" w:themeColor="background1"/>
                <w:sz w:val="21"/>
                <w:szCs w:val="21"/>
              </w:rPr>
            </w:pPr>
          </w:p>
        </w:tc>
      </w:tr>
      <w:tr w:rsidR="00290F38" w:rsidRPr="004C1D16" w14:paraId="222FCFC3" w14:textId="77777777" w:rsidTr="00814A59">
        <w:trPr>
          <w:trHeight w:val="227"/>
        </w:trPr>
        <w:tc>
          <w:tcPr>
            <w:tcW w:w="4058" w:type="dxa"/>
            <w:shd w:val="clear" w:color="auto" w:fill="auto"/>
            <w:vAlign w:val="center"/>
            <w:hideMark/>
          </w:tcPr>
          <w:p w14:paraId="1A563BCA" w14:textId="77777777"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Centro area metropolitana</w:t>
            </w:r>
          </w:p>
        </w:tc>
        <w:tc>
          <w:tcPr>
            <w:tcW w:w="1017" w:type="dxa"/>
            <w:shd w:val="clear" w:color="000000" w:fill="E6E6E6"/>
            <w:vAlign w:val="center"/>
            <w:hideMark/>
          </w:tcPr>
          <w:p w14:paraId="79407591" w14:textId="4457E1B3"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2.909,13</w:t>
            </w:r>
          </w:p>
        </w:tc>
        <w:tc>
          <w:tcPr>
            <w:tcW w:w="1016" w:type="dxa"/>
            <w:shd w:val="clear" w:color="auto" w:fill="auto"/>
            <w:vAlign w:val="center"/>
            <w:hideMark/>
          </w:tcPr>
          <w:p w14:paraId="38EB3CEE" w14:textId="42F4B593"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1,4</w:t>
            </w:r>
          </w:p>
        </w:tc>
        <w:tc>
          <w:tcPr>
            <w:tcW w:w="1017" w:type="dxa"/>
            <w:shd w:val="clear" w:color="000000" w:fill="E6E6E6"/>
            <w:vAlign w:val="bottom"/>
            <w:hideMark/>
          </w:tcPr>
          <w:p w14:paraId="338D36AD" w14:textId="58B835D1"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2.615,99</w:t>
            </w:r>
          </w:p>
        </w:tc>
        <w:tc>
          <w:tcPr>
            <w:tcW w:w="1016" w:type="dxa"/>
            <w:shd w:val="clear" w:color="auto" w:fill="auto"/>
            <w:vAlign w:val="bottom"/>
            <w:hideMark/>
          </w:tcPr>
          <w:p w14:paraId="4B7757E0" w14:textId="1AFEDD5E"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1,0</w:t>
            </w:r>
          </w:p>
        </w:tc>
        <w:tc>
          <w:tcPr>
            <w:tcW w:w="2025" w:type="dxa"/>
            <w:shd w:val="clear" w:color="auto" w:fill="auto"/>
            <w:vAlign w:val="bottom"/>
          </w:tcPr>
          <w:p w14:paraId="3C72FBB9" w14:textId="7CB8AE45" w:rsidR="00290F38" w:rsidRPr="004C1D16" w:rsidRDefault="0015584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7EF16951" w14:textId="77777777" w:rsidTr="00814A59">
        <w:trPr>
          <w:trHeight w:val="227"/>
        </w:trPr>
        <w:tc>
          <w:tcPr>
            <w:tcW w:w="4058" w:type="dxa"/>
            <w:shd w:val="clear" w:color="auto" w:fill="auto"/>
            <w:vAlign w:val="center"/>
            <w:hideMark/>
          </w:tcPr>
          <w:p w14:paraId="1F42205E" w14:textId="1E2B6608"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Periferia area metropolitana e comuni con 50.001 abitanti e più</w:t>
            </w:r>
          </w:p>
        </w:tc>
        <w:tc>
          <w:tcPr>
            <w:tcW w:w="1017" w:type="dxa"/>
            <w:shd w:val="clear" w:color="000000" w:fill="E6E6E6"/>
            <w:vAlign w:val="center"/>
            <w:hideMark/>
          </w:tcPr>
          <w:p w14:paraId="46E07649" w14:textId="69C003A5"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2.581,00</w:t>
            </w:r>
          </w:p>
        </w:tc>
        <w:tc>
          <w:tcPr>
            <w:tcW w:w="1016" w:type="dxa"/>
            <w:shd w:val="clear" w:color="auto" w:fill="auto"/>
            <w:vAlign w:val="center"/>
            <w:hideMark/>
          </w:tcPr>
          <w:p w14:paraId="2C26BAF1" w14:textId="138841BA"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0,9</w:t>
            </w:r>
          </w:p>
        </w:tc>
        <w:tc>
          <w:tcPr>
            <w:tcW w:w="1017" w:type="dxa"/>
            <w:shd w:val="clear" w:color="000000" w:fill="E6E6E6"/>
            <w:vAlign w:val="bottom"/>
            <w:hideMark/>
          </w:tcPr>
          <w:p w14:paraId="64DE8305" w14:textId="2DF58831"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2.377,74</w:t>
            </w:r>
          </w:p>
        </w:tc>
        <w:tc>
          <w:tcPr>
            <w:tcW w:w="1016" w:type="dxa"/>
            <w:shd w:val="clear" w:color="auto" w:fill="auto"/>
            <w:vAlign w:val="bottom"/>
            <w:hideMark/>
          </w:tcPr>
          <w:p w14:paraId="47553DFE" w14:textId="01FE6D0B"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0,8</w:t>
            </w:r>
          </w:p>
        </w:tc>
        <w:tc>
          <w:tcPr>
            <w:tcW w:w="2025" w:type="dxa"/>
            <w:shd w:val="clear" w:color="auto" w:fill="auto"/>
            <w:vAlign w:val="bottom"/>
          </w:tcPr>
          <w:p w14:paraId="2C3817AF" w14:textId="54027F8E" w:rsidR="00290F38" w:rsidRPr="004C1D16" w:rsidRDefault="0015584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03A70369" w14:textId="77777777" w:rsidTr="00814A59">
        <w:trPr>
          <w:trHeight w:val="227"/>
        </w:trPr>
        <w:tc>
          <w:tcPr>
            <w:tcW w:w="4058" w:type="dxa"/>
            <w:shd w:val="clear" w:color="auto" w:fill="auto"/>
            <w:vAlign w:val="center"/>
            <w:hideMark/>
          </w:tcPr>
          <w:p w14:paraId="0E6232FA" w14:textId="01F5FD61"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 xml:space="preserve">Altri comuni fino a 50.000 abitanti </w:t>
            </w:r>
            <w:r w:rsidRPr="004C1D16">
              <w:rPr>
                <w:rFonts w:ascii="Arial Narrow" w:hAnsi="Arial Narrow"/>
                <w:i/>
                <w:iCs/>
                <w:color w:val="003366"/>
                <w:sz w:val="21"/>
                <w:szCs w:val="21"/>
              </w:rPr>
              <w:t>(diversi dai comuni periferia area metropolitana)</w:t>
            </w:r>
          </w:p>
        </w:tc>
        <w:tc>
          <w:tcPr>
            <w:tcW w:w="1017" w:type="dxa"/>
            <w:shd w:val="clear" w:color="000000" w:fill="E6E6E6"/>
            <w:vAlign w:val="center"/>
            <w:hideMark/>
          </w:tcPr>
          <w:p w14:paraId="684A5F88" w14:textId="6C9E8221"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2.442,84</w:t>
            </w:r>
          </w:p>
        </w:tc>
        <w:tc>
          <w:tcPr>
            <w:tcW w:w="1016" w:type="dxa"/>
            <w:shd w:val="clear" w:color="auto" w:fill="auto"/>
            <w:vAlign w:val="center"/>
            <w:hideMark/>
          </w:tcPr>
          <w:p w14:paraId="083FE5E3" w14:textId="67941E4E"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0,7</w:t>
            </w:r>
          </w:p>
        </w:tc>
        <w:tc>
          <w:tcPr>
            <w:tcW w:w="1017" w:type="dxa"/>
            <w:shd w:val="clear" w:color="000000" w:fill="E6E6E6"/>
            <w:vAlign w:val="bottom"/>
            <w:hideMark/>
          </w:tcPr>
          <w:p w14:paraId="1662E426" w14:textId="3F767D8B"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2.206,98</w:t>
            </w:r>
          </w:p>
        </w:tc>
        <w:tc>
          <w:tcPr>
            <w:tcW w:w="1016" w:type="dxa"/>
            <w:shd w:val="clear" w:color="auto" w:fill="auto"/>
            <w:vAlign w:val="bottom"/>
            <w:hideMark/>
          </w:tcPr>
          <w:p w14:paraId="6AD73F7F" w14:textId="4A5AD2FD"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0,8</w:t>
            </w:r>
          </w:p>
        </w:tc>
        <w:tc>
          <w:tcPr>
            <w:tcW w:w="2025" w:type="dxa"/>
            <w:shd w:val="clear" w:color="auto" w:fill="auto"/>
            <w:vAlign w:val="bottom"/>
          </w:tcPr>
          <w:p w14:paraId="5EABE618" w14:textId="7EE45967" w:rsidR="00290F38" w:rsidRPr="004C1D16" w:rsidRDefault="0015584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A910A0" w:rsidRPr="004C1D16" w14:paraId="02A30538" w14:textId="77777777" w:rsidTr="00814A59">
        <w:trPr>
          <w:trHeight w:val="227"/>
        </w:trPr>
        <w:tc>
          <w:tcPr>
            <w:tcW w:w="4058" w:type="dxa"/>
            <w:shd w:val="clear" w:color="000000" w:fill="1F497D"/>
            <w:vAlign w:val="center"/>
            <w:hideMark/>
          </w:tcPr>
          <w:p w14:paraId="393A7AB5" w14:textId="77777777" w:rsidR="00A910A0" w:rsidRPr="004C1D16" w:rsidRDefault="00A910A0" w:rsidP="00A910A0">
            <w:pPr>
              <w:spacing w:before="40" w:after="20"/>
              <w:rPr>
                <w:rFonts w:ascii="Arial Narrow" w:hAnsi="Arial Narrow"/>
                <w:b/>
                <w:bCs/>
                <w:color w:val="FFFFFF" w:themeColor="background1"/>
                <w:sz w:val="21"/>
                <w:szCs w:val="21"/>
              </w:rPr>
            </w:pPr>
            <w:r w:rsidRPr="004C1D16">
              <w:rPr>
                <w:rFonts w:ascii="Arial Narrow" w:hAnsi="Arial Narrow"/>
                <w:b/>
                <w:bCs/>
                <w:color w:val="FFFFFF" w:themeColor="background1"/>
                <w:sz w:val="21"/>
                <w:szCs w:val="21"/>
              </w:rPr>
              <w:t>Cittadinanza</w:t>
            </w:r>
          </w:p>
        </w:tc>
        <w:tc>
          <w:tcPr>
            <w:tcW w:w="1017" w:type="dxa"/>
            <w:shd w:val="clear" w:color="000000" w:fill="1F497D"/>
            <w:vAlign w:val="center"/>
            <w:hideMark/>
          </w:tcPr>
          <w:p w14:paraId="13824800" w14:textId="10CE0794" w:rsidR="00A910A0" w:rsidRPr="004C1D16" w:rsidRDefault="00A910A0" w:rsidP="00A910A0">
            <w:pPr>
              <w:spacing w:before="40" w:after="20"/>
              <w:jc w:val="right"/>
              <w:rPr>
                <w:rFonts w:ascii="Arial Narrow" w:hAnsi="Arial Narrow"/>
                <w:b/>
                <w:bCs/>
                <w:color w:val="FFFFFF" w:themeColor="background1"/>
                <w:sz w:val="21"/>
                <w:szCs w:val="21"/>
              </w:rPr>
            </w:pPr>
          </w:p>
        </w:tc>
        <w:tc>
          <w:tcPr>
            <w:tcW w:w="1016" w:type="dxa"/>
            <w:shd w:val="clear" w:color="000000" w:fill="1F497D"/>
            <w:vAlign w:val="center"/>
            <w:hideMark/>
          </w:tcPr>
          <w:p w14:paraId="0810DE1A" w14:textId="4B057E39" w:rsidR="00A910A0" w:rsidRPr="004C1D16" w:rsidRDefault="00A910A0" w:rsidP="00A910A0">
            <w:pPr>
              <w:spacing w:before="40" w:after="20"/>
              <w:jc w:val="center"/>
              <w:rPr>
                <w:rFonts w:ascii="Arial Narrow" w:hAnsi="Arial Narrow"/>
                <w:b/>
                <w:bCs/>
                <w:color w:val="FFFFFF" w:themeColor="background1"/>
                <w:sz w:val="21"/>
                <w:szCs w:val="21"/>
              </w:rPr>
            </w:pPr>
          </w:p>
        </w:tc>
        <w:tc>
          <w:tcPr>
            <w:tcW w:w="1017" w:type="dxa"/>
            <w:shd w:val="clear" w:color="000000" w:fill="1F497D"/>
            <w:vAlign w:val="center"/>
            <w:hideMark/>
          </w:tcPr>
          <w:p w14:paraId="0A254478" w14:textId="270B34BB" w:rsidR="00A910A0" w:rsidRPr="004C1D16" w:rsidRDefault="00A910A0" w:rsidP="00A910A0">
            <w:pPr>
              <w:spacing w:before="40" w:after="20"/>
              <w:jc w:val="center"/>
              <w:rPr>
                <w:rFonts w:ascii="Arial Narrow" w:hAnsi="Arial Narrow"/>
                <w:b/>
                <w:bCs/>
                <w:color w:val="FFFFFF" w:themeColor="background1"/>
                <w:sz w:val="21"/>
                <w:szCs w:val="21"/>
                <w:highlight w:val="yellow"/>
              </w:rPr>
            </w:pPr>
          </w:p>
        </w:tc>
        <w:tc>
          <w:tcPr>
            <w:tcW w:w="1016" w:type="dxa"/>
            <w:shd w:val="clear" w:color="000000" w:fill="1F497D"/>
            <w:vAlign w:val="center"/>
            <w:hideMark/>
          </w:tcPr>
          <w:p w14:paraId="52C06BD6" w14:textId="73F2AE7D" w:rsidR="00A910A0" w:rsidRPr="004C1D16" w:rsidRDefault="00A910A0" w:rsidP="00A910A0">
            <w:pPr>
              <w:spacing w:before="40" w:after="20"/>
              <w:jc w:val="center"/>
              <w:rPr>
                <w:rFonts w:ascii="Arial Narrow" w:hAnsi="Arial Narrow"/>
                <w:b/>
                <w:bCs/>
                <w:color w:val="FFFFFF" w:themeColor="background1"/>
                <w:sz w:val="21"/>
                <w:szCs w:val="21"/>
                <w:highlight w:val="yellow"/>
              </w:rPr>
            </w:pPr>
          </w:p>
        </w:tc>
        <w:tc>
          <w:tcPr>
            <w:tcW w:w="2025" w:type="dxa"/>
            <w:shd w:val="clear" w:color="000000" w:fill="1F497D"/>
            <w:vAlign w:val="bottom"/>
          </w:tcPr>
          <w:p w14:paraId="3AF5CC15" w14:textId="0EA6E610" w:rsidR="00A910A0" w:rsidRPr="004C1D16" w:rsidRDefault="00A910A0" w:rsidP="00814A59">
            <w:pPr>
              <w:spacing w:before="40" w:after="20"/>
              <w:jc w:val="center"/>
              <w:rPr>
                <w:rFonts w:ascii="Arial Narrow" w:hAnsi="Arial Narrow"/>
                <w:b/>
                <w:bCs/>
                <w:color w:val="FFFFFF" w:themeColor="background1"/>
                <w:sz w:val="21"/>
                <w:szCs w:val="21"/>
              </w:rPr>
            </w:pPr>
          </w:p>
        </w:tc>
      </w:tr>
      <w:tr w:rsidR="00290F38" w:rsidRPr="004C1D16" w14:paraId="387E1E72" w14:textId="77777777" w:rsidTr="00814A59">
        <w:trPr>
          <w:trHeight w:val="227"/>
        </w:trPr>
        <w:tc>
          <w:tcPr>
            <w:tcW w:w="4058" w:type="dxa"/>
            <w:shd w:val="clear" w:color="auto" w:fill="auto"/>
            <w:vAlign w:val="center"/>
            <w:hideMark/>
          </w:tcPr>
          <w:p w14:paraId="430BE2AD" w14:textId="77777777"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Famiglie di soli italiani</w:t>
            </w:r>
          </w:p>
        </w:tc>
        <w:tc>
          <w:tcPr>
            <w:tcW w:w="1017" w:type="dxa"/>
            <w:shd w:val="clear" w:color="000000" w:fill="E6E6E6"/>
            <w:vAlign w:val="bottom"/>
            <w:hideMark/>
          </w:tcPr>
          <w:p w14:paraId="3A03DC92" w14:textId="27CE55CE"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2.615,21</w:t>
            </w:r>
          </w:p>
        </w:tc>
        <w:tc>
          <w:tcPr>
            <w:tcW w:w="1016" w:type="dxa"/>
            <w:shd w:val="clear" w:color="auto" w:fill="auto"/>
            <w:vAlign w:val="bottom"/>
            <w:hideMark/>
          </w:tcPr>
          <w:p w14:paraId="41318FBA" w14:textId="753D547F"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0,5</w:t>
            </w:r>
          </w:p>
        </w:tc>
        <w:tc>
          <w:tcPr>
            <w:tcW w:w="1017" w:type="dxa"/>
            <w:shd w:val="clear" w:color="000000" w:fill="E6E6E6"/>
            <w:vAlign w:val="bottom"/>
            <w:hideMark/>
          </w:tcPr>
          <w:p w14:paraId="25639F60" w14:textId="3FBB0ABF"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2.369,35</w:t>
            </w:r>
          </w:p>
        </w:tc>
        <w:tc>
          <w:tcPr>
            <w:tcW w:w="1016" w:type="dxa"/>
            <w:shd w:val="clear" w:color="auto" w:fill="auto"/>
            <w:vAlign w:val="bottom"/>
            <w:hideMark/>
          </w:tcPr>
          <w:p w14:paraId="79E5E051" w14:textId="3A91AC1D"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0,5</w:t>
            </w:r>
          </w:p>
        </w:tc>
        <w:tc>
          <w:tcPr>
            <w:tcW w:w="2025" w:type="dxa"/>
            <w:shd w:val="clear" w:color="auto" w:fill="auto"/>
            <w:vAlign w:val="bottom"/>
          </w:tcPr>
          <w:p w14:paraId="02DB7758" w14:textId="436C323F" w:rsidR="00290F38" w:rsidRPr="004C1D16" w:rsidRDefault="0015584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3552F6E8" w14:textId="77777777" w:rsidTr="00814A59">
        <w:trPr>
          <w:trHeight w:val="227"/>
        </w:trPr>
        <w:tc>
          <w:tcPr>
            <w:tcW w:w="4058" w:type="dxa"/>
            <w:shd w:val="clear" w:color="auto" w:fill="auto"/>
            <w:vAlign w:val="center"/>
            <w:hideMark/>
          </w:tcPr>
          <w:p w14:paraId="5962CD16" w14:textId="77777777" w:rsidR="00290F38" w:rsidRPr="004C1D16" w:rsidRDefault="00290F38" w:rsidP="00290F38">
            <w:pPr>
              <w:spacing w:before="40" w:after="20"/>
              <w:rPr>
                <w:rFonts w:ascii="Arial Narrow" w:hAnsi="Arial Narrow"/>
                <w:color w:val="1F497D"/>
                <w:sz w:val="21"/>
                <w:szCs w:val="21"/>
              </w:rPr>
            </w:pPr>
            <w:r w:rsidRPr="004C1D16">
              <w:rPr>
                <w:rFonts w:ascii="Arial Narrow" w:hAnsi="Arial Narrow"/>
                <w:color w:val="1F497D"/>
                <w:sz w:val="21"/>
                <w:szCs w:val="21"/>
              </w:rPr>
              <w:t>Famiglie con almeno uno straniero</w:t>
            </w:r>
          </w:p>
        </w:tc>
        <w:tc>
          <w:tcPr>
            <w:tcW w:w="1017" w:type="dxa"/>
            <w:shd w:val="clear" w:color="000000" w:fill="E6E6E6"/>
            <w:vAlign w:val="bottom"/>
            <w:hideMark/>
          </w:tcPr>
          <w:p w14:paraId="3E62B563" w14:textId="3388806D"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1.994,83</w:t>
            </w:r>
          </w:p>
        </w:tc>
        <w:tc>
          <w:tcPr>
            <w:tcW w:w="1016" w:type="dxa"/>
            <w:shd w:val="clear" w:color="auto" w:fill="auto"/>
            <w:vAlign w:val="bottom"/>
            <w:hideMark/>
          </w:tcPr>
          <w:p w14:paraId="6BD55C1F" w14:textId="02F174CF" w:rsidR="00290F38" w:rsidRPr="004C1D16" w:rsidRDefault="00290F38" w:rsidP="00290F38">
            <w:pPr>
              <w:spacing w:before="40" w:after="20"/>
              <w:jc w:val="center"/>
              <w:rPr>
                <w:rFonts w:ascii="Arial Narrow" w:hAnsi="Arial Narrow"/>
                <w:color w:val="000000"/>
                <w:sz w:val="21"/>
                <w:szCs w:val="21"/>
              </w:rPr>
            </w:pPr>
            <w:r w:rsidRPr="004C1D16">
              <w:rPr>
                <w:rFonts w:ascii="Arial Narrow" w:hAnsi="Arial Narrow"/>
                <w:color w:val="1F497D"/>
                <w:sz w:val="21"/>
                <w:szCs w:val="21"/>
              </w:rPr>
              <w:t>2,4</w:t>
            </w:r>
          </w:p>
        </w:tc>
        <w:tc>
          <w:tcPr>
            <w:tcW w:w="1017" w:type="dxa"/>
            <w:shd w:val="clear" w:color="000000" w:fill="E6E6E6"/>
            <w:vAlign w:val="bottom"/>
            <w:hideMark/>
          </w:tcPr>
          <w:p w14:paraId="733C0433" w14:textId="059825A5"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1.892,12</w:t>
            </w:r>
          </w:p>
        </w:tc>
        <w:tc>
          <w:tcPr>
            <w:tcW w:w="1016" w:type="dxa"/>
            <w:shd w:val="clear" w:color="auto" w:fill="auto"/>
            <w:vAlign w:val="bottom"/>
            <w:hideMark/>
          </w:tcPr>
          <w:p w14:paraId="607A0ACB" w14:textId="17D315CD"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2,0</w:t>
            </w:r>
          </w:p>
        </w:tc>
        <w:tc>
          <w:tcPr>
            <w:tcW w:w="2025" w:type="dxa"/>
            <w:shd w:val="clear" w:color="auto" w:fill="auto"/>
            <w:vAlign w:val="bottom"/>
          </w:tcPr>
          <w:p w14:paraId="44FCE7BC" w14:textId="253B3EF5" w:rsidR="00290F38" w:rsidRPr="004C1D16" w:rsidRDefault="003B7D31"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125EC55C" w14:textId="77777777" w:rsidTr="00814A59">
        <w:trPr>
          <w:trHeight w:val="227"/>
        </w:trPr>
        <w:tc>
          <w:tcPr>
            <w:tcW w:w="4058" w:type="dxa"/>
            <w:shd w:val="clear" w:color="auto" w:fill="auto"/>
            <w:vAlign w:val="center"/>
            <w:hideMark/>
          </w:tcPr>
          <w:p w14:paraId="4AD6F36E" w14:textId="77777777" w:rsidR="00290F38" w:rsidRPr="004C1D16" w:rsidRDefault="00290F38" w:rsidP="004C1D16">
            <w:pPr>
              <w:spacing w:before="40" w:after="20"/>
              <w:ind w:firstLineChars="200" w:firstLine="420"/>
              <w:rPr>
                <w:rFonts w:ascii="Arial Narrow" w:hAnsi="Arial Narrow"/>
                <w:color w:val="1F497D"/>
                <w:sz w:val="21"/>
                <w:szCs w:val="21"/>
              </w:rPr>
            </w:pPr>
            <w:r w:rsidRPr="004C1D16">
              <w:rPr>
                <w:rFonts w:ascii="Arial Narrow" w:hAnsi="Arial Narrow"/>
                <w:color w:val="1F497D"/>
                <w:sz w:val="21"/>
                <w:szCs w:val="21"/>
              </w:rPr>
              <w:t>Famiglie miste</w:t>
            </w:r>
          </w:p>
        </w:tc>
        <w:tc>
          <w:tcPr>
            <w:tcW w:w="1017" w:type="dxa"/>
            <w:shd w:val="clear" w:color="000000" w:fill="E6E6E6"/>
            <w:vAlign w:val="bottom"/>
            <w:hideMark/>
          </w:tcPr>
          <w:p w14:paraId="334591F0" w14:textId="14239AF3"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2.787,02</w:t>
            </w:r>
          </w:p>
        </w:tc>
        <w:tc>
          <w:tcPr>
            <w:tcW w:w="1016" w:type="dxa"/>
            <w:shd w:val="clear" w:color="auto" w:fill="auto"/>
            <w:vAlign w:val="bottom"/>
            <w:hideMark/>
          </w:tcPr>
          <w:p w14:paraId="0EFC68E6" w14:textId="4648058D"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5,8</w:t>
            </w:r>
          </w:p>
        </w:tc>
        <w:tc>
          <w:tcPr>
            <w:tcW w:w="1017" w:type="dxa"/>
            <w:shd w:val="clear" w:color="000000" w:fill="E6E6E6"/>
            <w:vAlign w:val="bottom"/>
            <w:hideMark/>
          </w:tcPr>
          <w:p w14:paraId="045108B0" w14:textId="38E8DFC4"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2.334,13</w:t>
            </w:r>
          </w:p>
        </w:tc>
        <w:tc>
          <w:tcPr>
            <w:tcW w:w="1016" w:type="dxa"/>
            <w:shd w:val="clear" w:color="auto" w:fill="auto"/>
            <w:vAlign w:val="bottom"/>
            <w:hideMark/>
          </w:tcPr>
          <w:p w14:paraId="33C70634" w14:textId="2E75F762"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4,7</w:t>
            </w:r>
          </w:p>
        </w:tc>
        <w:tc>
          <w:tcPr>
            <w:tcW w:w="2025" w:type="dxa"/>
            <w:shd w:val="clear" w:color="auto" w:fill="auto"/>
            <w:vAlign w:val="bottom"/>
          </w:tcPr>
          <w:p w14:paraId="7545D08E" w14:textId="28D069CA" w:rsidR="00290F38" w:rsidRPr="004C1D16" w:rsidRDefault="00155844" w:rsidP="00814A59">
            <w:pPr>
              <w:spacing w:before="40" w:after="20"/>
              <w:jc w:val="center"/>
              <w:rPr>
                <w:rFonts w:ascii="Arial Narrow" w:hAnsi="Arial Narrow"/>
                <w:color w:val="1F497D"/>
                <w:sz w:val="21"/>
                <w:szCs w:val="21"/>
              </w:rPr>
            </w:pPr>
            <w:r w:rsidRPr="004C1D16">
              <w:rPr>
                <w:rFonts w:ascii="Arial Narrow" w:hAnsi="Arial Narrow"/>
                <w:color w:val="1F497D"/>
                <w:sz w:val="21"/>
                <w:szCs w:val="21"/>
              </w:rPr>
              <w:t>*</w:t>
            </w:r>
          </w:p>
        </w:tc>
      </w:tr>
      <w:tr w:rsidR="00290F38" w:rsidRPr="004C1D16" w14:paraId="3953CC0C" w14:textId="77777777" w:rsidTr="00814A59">
        <w:trPr>
          <w:trHeight w:val="227"/>
        </w:trPr>
        <w:tc>
          <w:tcPr>
            <w:tcW w:w="4058" w:type="dxa"/>
            <w:shd w:val="clear" w:color="auto" w:fill="auto"/>
            <w:vAlign w:val="center"/>
            <w:hideMark/>
          </w:tcPr>
          <w:p w14:paraId="58C611F1" w14:textId="77777777" w:rsidR="00290F38" w:rsidRPr="004C1D16" w:rsidRDefault="00290F38" w:rsidP="004C1D16">
            <w:pPr>
              <w:spacing w:before="40" w:after="20"/>
              <w:ind w:firstLineChars="200" w:firstLine="420"/>
              <w:rPr>
                <w:rFonts w:ascii="Arial Narrow" w:hAnsi="Arial Narrow"/>
                <w:color w:val="1F497D"/>
                <w:sz w:val="21"/>
                <w:szCs w:val="21"/>
              </w:rPr>
            </w:pPr>
            <w:r w:rsidRPr="004C1D16">
              <w:rPr>
                <w:rFonts w:ascii="Arial Narrow" w:hAnsi="Arial Narrow"/>
                <w:color w:val="1F497D"/>
                <w:sz w:val="21"/>
                <w:szCs w:val="21"/>
              </w:rPr>
              <w:t>Famiglie di soli stranieri</w:t>
            </w:r>
          </w:p>
        </w:tc>
        <w:tc>
          <w:tcPr>
            <w:tcW w:w="1017" w:type="dxa"/>
            <w:shd w:val="clear" w:color="000000" w:fill="E6E6E6"/>
            <w:vAlign w:val="bottom"/>
            <w:hideMark/>
          </w:tcPr>
          <w:p w14:paraId="41AB3B3E" w14:textId="16078D79"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1.662,86</w:t>
            </w:r>
          </w:p>
        </w:tc>
        <w:tc>
          <w:tcPr>
            <w:tcW w:w="1016" w:type="dxa"/>
            <w:shd w:val="clear" w:color="auto" w:fill="auto"/>
            <w:vAlign w:val="bottom"/>
            <w:hideMark/>
          </w:tcPr>
          <w:p w14:paraId="610C9A8E" w14:textId="1C3D3B41"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2,4</w:t>
            </w:r>
          </w:p>
        </w:tc>
        <w:tc>
          <w:tcPr>
            <w:tcW w:w="1017" w:type="dxa"/>
            <w:shd w:val="clear" w:color="000000" w:fill="E6E6E6"/>
            <w:vAlign w:val="bottom"/>
            <w:hideMark/>
          </w:tcPr>
          <w:p w14:paraId="3B921C0B" w14:textId="58DD3E37" w:rsidR="00290F38" w:rsidRPr="004C1D16" w:rsidRDefault="00290F38" w:rsidP="00290F38">
            <w:pPr>
              <w:spacing w:before="40" w:after="20"/>
              <w:jc w:val="right"/>
              <w:rPr>
                <w:rFonts w:ascii="Arial Narrow" w:hAnsi="Arial Narrow"/>
                <w:color w:val="1F497D"/>
                <w:sz w:val="21"/>
                <w:szCs w:val="21"/>
              </w:rPr>
            </w:pPr>
            <w:r w:rsidRPr="004C1D16">
              <w:rPr>
                <w:rFonts w:ascii="Arial Narrow" w:hAnsi="Arial Narrow"/>
                <w:color w:val="1F497D"/>
                <w:sz w:val="21"/>
                <w:szCs w:val="21"/>
              </w:rPr>
              <w:t>1.696,65</w:t>
            </w:r>
          </w:p>
        </w:tc>
        <w:tc>
          <w:tcPr>
            <w:tcW w:w="1016" w:type="dxa"/>
            <w:shd w:val="clear" w:color="auto" w:fill="auto"/>
            <w:vAlign w:val="bottom"/>
            <w:hideMark/>
          </w:tcPr>
          <w:p w14:paraId="6F4A9F65" w14:textId="7CBC2D2A" w:rsidR="00290F38" w:rsidRPr="004C1D16" w:rsidRDefault="00290F38" w:rsidP="00290F38">
            <w:pPr>
              <w:spacing w:before="40" w:after="20"/>
              <w:jc w:val="center"/>
              <w:rPr>
                <w:rFonts w:ascii="Arial Narrow" w:hAnsi="Arial Narrow"/>
                <w:color w:val="1F497D"/>
                <w:sz w:val="21"/>
                <w:szCs w:val="21"/>
              </w:rPr>
            </w:pPr>
            <w:r w:rsidRPr="004C1D16">
              <w:rPr>
                <w:rFonts w:ascii="Arial Narrow" w:hAnsi="Arial Narrow"/>
                <w:color w:val="1F497D"/>
                <w:sz w:val="21"/>
                <w:szCs w:val="21"/>
              </w:rPr>
              <w:t>2,2</w:t>
            </w:r>
          </w:p>
        </w:tc>
        <w:tc>
          <w:tcPr>
            <w:tcW w:w="2025" w:type="dxa"/>
            <w:shd w:val="clear" w:color="auto" w:fill="auto"/>
            <w:vAlign w:val="bottom"/>
          </w:tcPr>
          <w:p w14:paraId="1CD1D7E2" w14:textId="1C87541F" w:rsidR="00290F38" w:rsidRPr="004C1D16" w:rsidRDefault="00290F38" w:rsidP="00814A59">
            <w:pPr>
              <w:spacing w:before="40" w:after="20"/>
              <w:jc w:val="center"/>
              <w:rPr>
                <w:rFonts w:ascii="Arial Narrow" w:hAnsi="Arial Narrow"/>
                <w:color w:val="1F497D"/>
                <w:sz w:val="21"/>
                <w:szCs w:val="21"/>
              </w:rPr>
            </w:pPr>
          </w:p>
        </w:tc>
      </w:tr>
    </w:tbl>
    <w:p w14:paraId="53F26FEC" w14:textId="68D6923D" w:rsidR="00995157" w:rsidRPr="004C1D16" w:rsidRDefault="00995157" w:rsidP="00995157">
      <w:pPr>
        <w:spacing w:after="120"/>
        <w:jc w:val="both"/>
        <w:rPr>
          <w:rFonts w:ascii="Arial" w:hAnsi="Arial" w:cs="Arial"/>
          <w:b/>
          <w:sz w:val="21"/>
          <w:szCs w:val="21"/>
        </w:rPr>
      </w:pPr>
      <w:r w:rsidRPr="004C1D16">
        <w:rPr>
          <w:rFonts w:ascii="Arial Narrow" w:hAnsi="Arial Narrow"/>
          <w:sz w:val="21"/>
          <w:szCs w:val="21"/>
        </w:rPr>
        <w:t xml:space="preserve">(*) La presenza dell’asterisco indica che la variazione </w:t>
      </w:r>
      <w:r w:rsidR="00447CD3" w:rsidRPr="004C1D16">
        <w:rPr>
          <w:rFonts w:ascii="Arial Narrow" w:hAnsi="Arial Narrow"/>
          <w:sz w:val="21"/>
          <w:szCs w:val="21"/>
        </w:rPr>
        <w:t>tra il 201</w:t>
      </w:r>
      <w:r w:rsidR="00A910A0" w:rsidRPr="004C1D16">
        <w:rPr>
          <w:rFonts w:ascii="Arial Narrow" w:hAnsi="Arial Narrow"/>
          <w:sz w:val="21"/>
          <w:szCs w:val="21"/>
        </w:rPr>
        <w:t>9</w:t>
      </w:r>
      <w:r w:rsidR="00447CD3" w:rsidRPr="004C1D16">
        <w:rPr>
          <w:rFonts w:ascii="Arial Narrow" w:hAnsi="Arial Narrow"/>
          <w:sz w:val="21"/>
          <w:szCs w:val="21"/>
        </w:rPr>
        <w:t xml:space="preserve"> e il 20</w:t>
      </w:r>
      <w:r w:rsidR="00A910A0" w:rsidRPr="004C1D16">
        <w:rPr>
          <w:rFonts w:ascii="Arial Narrow" w:hAnsi="Arial Narrow"/>
          <w:sz w:val="21"/>
          <w:szCs w:val="21"/>
        </w:rPr>
        <w:t>20</w:t>
      </w:r>
      <w:r w:rsidR="00447CD3" w:rsidRPr="004C1D16">
        <w:rPr>
          <w:rFonts w:ascii="Arial Narrow" w:hAnsi="Arial Narrow"/>
          <w:sz w:val="21"/>
          <w:szCs w:val="21"/>
        </w:rPr>
        <w:t xml:space="preserve"> </w:t>
      </w:r>
      <w:r w:rsidRPr="004C1D16">
        <w:rPr>
          <w:rFonts w:ascii="Arial Narrow" w:hAnsi="Arial Narrow"/>
          <w:sz w:val="21"/>
          <w:szCs w:val="21"/>
        </w:rPr>
        <w:t>della spesa per singola caratteristica familiare è statisticamente significativa (ovvero diversa da zero)</w:t>
      </w:r>
      <w:r w:rsidR="00965A69" w:rsidRPr="004C1D16">
        <w:rPr>
          <w:rFonts w:ascii="Arial Narrow" w:hAnsi="Arial Narrow"/>
          <w:sz w:val="21"/>
          <w:szCs w:val="21"/>
        </w:rPr>
        <w:t>.</w:t>
      </w:r>
    </w:p>
    <w:p w14:paraId="68C48BEA" w14:textId="1AB97AEF" w:rsidR="00EE0F3E" w:rsidRPr="004C1D16" w:rsidRDefault="00EE0F3E">
      <w:pPr>
        <w:rPr>
          <w:rFonts w:ascii="Arial" w:hAnsi="Arial" w:cs="Arial"/>
          <w:b/>
          <w:color w:val="1F497D"/>
          <w:sz w:val="21"/>
          <w:szCs w:val="21"/>
        </w:rPr>
      </w:pPr>
      <w:r w:rsidRPr="004C1D16">
        <w:rPr>
          <w:rFonts w:ascii="Arial" w:hAnsi="Arial" w:cs="Arial"/>
          <w:b/>
          <w:color w:val="1F497D"/>
          <w:sz w:val="21"/>
          <w:szCs w:val="21"/>
        </w:rPr>
        <w:br w:type="page"/>
      </w:r>
    </w:p>
    <w:p w14:paraId="58ADEBCE" w14:textId="77777777" w:rsidR="0004198F" w:rsidRPr="004C1D16" w:rsidRDefault="0004198F" w:rsidP="00952267">
      <w:pPr>
        <w:spacing w:after="120"/>
        <w:jc w:val="both"/>
        <w:rPr>
          <w:rFonts w:ascii="Arial" w:hAnsi="Arial" w:cs="Arial"/>
          <w:b/>
          <w:color w:val="1F497D"/>
          <w:sz w:val="21"/>
          <w:szCs w:val="21"/>
        </w:rPr>
      </w:pPr>
    </w:p>
    <w:p w14:paraId="79507494" w14:textId="77777777" w:rsidR="004451EE" w:rsidRPr="004C1D16" w:rsidRDefault="004451EE" w:rsidP="004451EE">
      <w:pPr>
        <w:spacing w:after="120"/>
        <w:jc w:val="both"/>
        <w:rPr>
          <w:rFonts w:ascii="Arial" w:hAnsi="Arial" w:cs="Arial"/>
          <w:b/>
          <w:color w:val="1F497D"/>
          <w:sz w:val="21"/>
          <w:szCs w:val="21"/>
        </w:rPr>
      </w:pPr>
      <w:r w:rsidRPr="004C1D16">
        <w:rPr>
          <w:rFonts w:ascii="Arial" w:hAnsi="Arial" w:cs="Arial"/>
          <w:b/>
          <w:color w:val="1F497D"/>
          <w:sz w:val="21"/>
          <w:szCs w:val="21"/>
        </w:rPr>
        <w:t>Classificazioni</w:t>
      </w:r>
    </w:p>
    <w:p w14:paraId="1E955352" w14:textId="5235A6CA"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Nella rilevazione sono utilizzate le classificazioni territoriali Istat di Comuni, Province, Regioni e Stati Esteri, la classificazione dell’attività economica Ateco 2007 (Nace Rev</w:t>
      </w:r>
      <w:r w:rsidR="00965A69" w:rsidRPr="004C1D16">
        <w:rPr>
          <w:rFonts w:ascii="Arial" w:hAnsi="Arial" w:cs="Arial"/>
          <w:bCs/>
          <w:sz w:val="21"/>
          <w:szCs w:val="21"/>
        </w:rPr>
        <w:t>.</w:t>
      </w:r>
      <w:r w:rsidRPr="004C1D16">
        <w:rPr>
          <w:rFonts w:ascii="Arial" w:hAnsi="Arial" w:cs="Arial"/>
          <w:bCs/>
          <w:sz w:val="21"/>
          <w:szCs w:val="21"/>
        </w:rPr>
        <w:t>2), la classificazione ISCED dei titoli di studio e la classificazione delle spese per consumi ECOICOP</w:t>
      </w:r>
      <w:r w:rsidR="00965A69" w:rsidRPr="004C1D16">
        <w:rPr>
          <w:rFonts w:ascii="Arial" w:hAnsi="Arial" w:cs="Arial"/>
          <w:bCs/>
          <w:sz w:val="21"/>
          <w:szCs w:val="21"/>
        </w:rPr>
        <w:t>.</w:t>
      </w:r>
    </w:p>
    <w:p w14:paraId="61AA2683" w14:textId="77777777" w:rsidR="004451EE" w:rsidRPr="004C1D16" w:rsidRDefault="004451EE" w:rsidP="004451EE">
      <w:pPr>
        <w:spacing w:after="120"/>
        <w:jc w:val="both"/>
        <w:rPr>
          <w:rFonts w:ascii="Arial" w:hAnsi="Arial" w:cs="Arial"/>
          <w:b/>
          <w:color w:val="1F497D"/>
          <w:sz w:val="21"/>
          <w:szCs w:val="21"/>
        </w:rPr>
      </w:pPr>
    </w:p>
    <w:p w14:paraId="5794527E" w14:textId="77777777" w:rsidR="004451EE" w:rsidRPr="004C1D16" w:rsidRDefault="004451EE" w:rsidP="004451EE">
      <w:pPr>
        <w:spacing w:after="120"/>
        <w:jc w:val="both"/>
        <w:rPr>
          <w:rFonts w:ascii="Arial" w:hAnsi="Arial" w:cs="Arial"/>
          <w:b/>
          <w:color w:val="1F497D"/>
          <w:sz w:val="21"/>
          <w:szCs w:val="21"/>
        </w:rPr>
      </w:pPr>
      <w:r w:rsidRPr="004C1D16">
        <w:rPr>
          <w:rFonts w:ascii="Arial" w:hAnsi="Arial" w:cs="Arial"/>
          <w:b/>
          <w:color w:val="1F497D"/>
          <w:sz w:val="21"/>
          <w:szCs w:val="21"/>
        </w:rPr>
        <w:t>Diffusione</w:t>
      </w:r>
    </w:p>
    <w:p w14:paraId="702DA2FB" w14:textId="452C5C47"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 xml:space="preserve">Nel mese di </w:t>
      </w:r>
      <w:r w:rsidR="00E609E3" w:rsidRPr="004C1D16">
        <w:rPr>
          <w:rFonts w:ascii="Arial" w:hAnsi="Arial" w:cs="Arial"/>
          <w:bCs/>
          <w:sz w:val="21"/>
          <w:szCs w:val="21"/>
        </w:rPr>
        <w:t xml:space="preserve">giugno </w:t>
      </w:r>
      <w:r w:rsidRPr="004C1D16">
        <w:rPr>
          <w:rFonts w:ascii="Arial" w:hAnsi="Arial" w:cs="Arial"/>
          <w:bCs/>
          <w:sz w:val="21"/>
          <w:szCs w:val="21"/>
        </w:rPr>
        <w:t>la Statistica Report “Spese per consumi delle famiglie” diffonde le stime riferite all’anno precedente</w:t>
      </w:r>
      <w:r w:rsidR="00965A69" w:rsidRPr="004C1D16">
        <w:rPr>
          <w:rFonts w:ascii="Arial" w:hAnsi="Arial" w:cs="Arial"/>
          <w:bCs/>
          <w:sz w:val="21"/>
          <w:szCs w:val="21"/>
        </w:rPr>
        <w:t>.</w:t>
      </w:r>
    </w:p>
    <w:p w14:paraId="21D27703" w14:textId="307E1A87"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I principali risultati della rilevazione sono disponibili anche sul data warehouse I</w:t>
      </w:r>
      <w:r w:rsidR="00965A69" w:rsidRPr="004C1D16">
        <w:rPr>
          <w:rFonts w:ascii="Arial" w:hAnsi="Arial" w:cs="Arial"/>
          <w:bCs/>
          <w:sz w:val="21"/>
          <w:szCs w:val="21"/>
        </w:rPr>
        <w:t>.</w:t>
      </w:r>
      <w:r w:rsidRPr="004C1D16">
        <w:rPr>
          <w:rFonts w:ascii="Arial" w:hAnsi="Arial" w:cs="Arial"/>
          <w:bCs/>
          <w:sz w:val="21"/>
          <w:szCs w:val="21"/>
        </w:rPr>
        <w:t xml:space="preserve">Stat, all’indirizzo </w:t>
      </w:r>
      <w:hyperlink r:id="rId32" w:history="1">
        <w:r w:rsidR="00DB2F46" w:rsidRPr="004C1D16">
          <w:rPr>
            <w:rStyle w:val="Collegamentoipertestuale"/>
            <w:rFonts w:ascii="Arial" w:hAnsi="Arial" w:cs="Arial"/>
            <w:bCs/>
            <w:sz w:val="21"/>
            <w:szCs w:val="21"/>
          </w:rPr>
          <w:t>http://dati.istat.it/</w:t>
        </w:r>
      </w:hyperlink>
      <w:r w:rsidR="00DB2F46" w:rsidRPr="004C1D16" w:rsidDel="00DB2F46">
        <w:rPr>
          <w:rFonts w:ascii="Arial" w:hAnsi="Arial" w:cs="Arial"/>
          <w:bCs/>
          <w:sz w:val="21"/>
          <w:szCs w:val="21"/>
        </w:rPr>
        <w:t xml:space="preserve"> </w:t>
      </w:r>
      <w:r w:rsidRPr="004C1D16">
        <w:rPr>
          <w:rFonts w:ascii="Arial" w:hAnsi="Arial" w:cs="Arial"/>
          <w:bCs/>
          <w:sz w:val="21"/>
          <w:szCs w:val="21"/>
        </w:rPr>
        <w:t>(tema: “Condizioni economiche delle famiglie e disuguaglianze”)</w:t>
      </w:r>
      <w:r w:rsidR="00965A69" w:rsidRPr="004C1D16">
        <w:rPr>
          <w:rFonts w:ascii="Arial" w:hAnsi="Arial" w:cs="Arial"/>
          <w:bCs/>
          <w:sz w:val="21"/>
          <w:szCs w:val="21"/>
        </w:rPr>
        <w:t>.</w:t>
      </w:r>
    </w:p>
    <w:p w14:paraId="222C8349" w14:textId="24161BDB"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 xml:space="preserve">Con cadenza quinquennale, inoltre, i dati sulle Spese delle famiglie sono trasmessi a Eurostat, che li archivia nel proprio database, al seguente indirizzo: </w:t>
      </w:r>
      <w:hyperlink r:id="rId33" w:history="1">
        <w:r w:rsidRPr="004C1D16">
          <w:rPr>
            <w:rStyle w:val="Collegamentoipertestuale"/>
            <w:rFonts w:ascii="Arial" w:hAnsi="Arial" w:cs="Arial"/>
            <w:bCs/>
            <w:sz w:val="21"/>
            <w:szCs w:val="21"/>
          </w:rPr>
          <w:t>http://ec</w:t>
        </w:r>
        <w:r w:rsidR="00965A69" w:rsidRPr="004C1D16">
          <w:rPr>
            <w:rStyle w:val="Collegamentoipertestuale"/>
            <w:rFonts w:ascii="Arial" w:hAnsi="Arial" w:cs="Arial"/>
            <w:bCs/>
            <w:sz w:val="21"/>
            <w:szCs w:val="21"/>
          </w:rPr>
          <w:t>.</w:t>
        </w:r>
        <w:r w:rsidRPr="004C1D16">
          <w:rPr>
            <w:rStyle w:val="Collegamentoipertestuale"/>
            <w:rFonts w:ascii="Arial" w:hAnsi="Arial" w:cs="Arial"/>
            <w:bCs/>
            <w:sz w:val="21"/>
            <w:szCs w:val="21"/>
          </w:rPr>
          <w:t>europa</w:t>
        </w:r>
        <w:r w:rsidR="00965A69" w:rsidRPr="004C1D16">
          <w:rPr>
            <w:rStyle w:val="Collegamentoipertestuale"/>
            <w:rFonts w:ascii="Arial" w:hAnsi="Arial" w:cs="Arial"/>
            <w:bCs/>
            <w:sz w:val="21"/>
            <w:szCs w:val="21"/>
          </w:rPr>
          <w:t>.</w:t>
        </w:r>
        <w:r w:rsidRPr="004C1D16">
          <w:rPr>
            <w:rStyle w:val="Collegamentoipertestuale"/>
            <w:rFonts w:ascii="Arial" w:hAnsi="Arial" w:cs="Arial"/>
            <w:bCs/>
            <w:sz w:val="21"/>
            <w:szCs w:val="21"/>
          </w:rPr>
          <w:t>eu/eurostat/web/household-budget-surveys/database</w:t>
        </w:r>
      </w:hyperlink>
      <w:r w:rsidR="00965A69" w:rsidRPr="004C1D16">
        <w:rPr>
          <w:rFonts w:ascii="Arial" w:hAnsi="Arial" w:cs="Arial"/>
          <w:bCs/>
          <w:sz w:val="21"/>
          <w:szCs w:val="21"/>
        </w:rPr>
        <w:t>.</w:t>
      </w:r>
    </w:p>
    <w:p w14:paraId="20B54F27" w14:textId="2E0920F9"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Ogni anno, i dati raccolti sono analizzati e diffusi nelle pubblicazioni Istat di carattere trasversale (Rapporto annuale, Annuario statistico italiano, Noi Italia, Italia in cifre) e, occasionalmente, nelle collane di approfondimento o analisi dell'Istat, consultabili nella sezione dedicata alla produzione editoriale (</w:t>
      </w:r>
      <w:hyperlink r:id="rId34" w:history="1">
        <w:r w:rsidRPr="004C1D16">
          <w:rPr>
            <w:rStyle w:val="Collegamentoipertestuale"/>
            <w:rFonts w:ascii="Arial" w:hAnsi="Arial" w:cs="Arial"/>
            <w:bCs/>
            <w:sz w:val="21"/>
            <w:szCs w:val="21"/>
          </w:rPr>
          <w:t>http://www</w:t>
        </w:r>
        <w:r w:rsidR="00965A69" w:rsidRPr="004C1D16">
          <w:rPr>
            <w:rStyle w:val="Collegamentoipertestuale"/>
            <w:rFonts w:ascii="Arial" w:hAnsi="Arial" w:cs="Arial"/>
            <w:bCs/>
            <w:sz w:val="21"/>
            <w:szCs w:val="21"/>
          </w:rPr>
          <w:t>.</w:t>
        </w:r>
        <w:r w:rsidRPr="004C1D16">
          <w:rPr>
            <w:rStyle w:val="Collegamentoipertestuale"/>
            <w:rFonts w:ascii="Arial" w:hAnsi="Arial" w:cs="Arial"/>
            <w:bCs/>
            <w:sz w:val="21"/>
            <w:szCs w:val="21"/>
          </w:rPr>
          <w:t>istat</w:t>
        </w:r>
        <w:r w:rsidR="00965A69" w:rsidRPr="004C1D16">
          <w:rPr>
            <w:rStyle w:val="Collegamentoipertestuale"/>
            <w:rFonts w:ascii="Arial" w:hAnsi="Arial" w:cs="Arial"/>
            <w:bCs/>
            <w:sz w:val="21"/>
            <w:szCs w:val="21"/>
          </w:rPr>
          <w:t>.</w:t>
        </w:r>
        <w:r w:rsidRPr="004C1D16">
          <w:rPr>
            <w:rStyle w:val="Collegamentoipertestuale"/>
            <w:rFonts w:ascii="Arial" w:hAnsi="Arial" w:cs="Arial"/>
            <w:bCs/>
            <w:sz w:val="21"/>
            <w:szCs w:val="21"/>
          </w:rPr>
          <w:t>it/it/produzione-editoriale</w:t>
        </w:r>
      </w:hyperlink>
      <w:r w:rsidRPr="004C1D16">
        <w:rPr>
          <w:rFonts w:ascii="Arial" w:hAnsi="Arial" w:cs="Arial"/>
          <w:bCs/>
          <w:sz w:val="21"/>
          <w:szCs w:val="21"/>
        </w:rPr>
        <w:t>)</w:t>
      </w:r>
      <w:r w:rsidR="00965A69" w:rsidRPr="004C1D16">
        <w:rPr>
          <w:rFonts w:ascii="Arial" w:hAnsi="Arial" w:cs="Arial"/>
          <w:bCs/>
          <w:sz w:val="21"/>
          <w:szCs w:val="21"/>
        </w:rPr>
        <w:t>.</w:t>
      </w:r>
    </w:p>
    <w:p w14:paraId="272FB7E0" w14:textId="1D7D6C2C" w:rsidR="004451EE" w:rsidRPr="004C1D16" w:rsidRDefault="004451EE" w:rsidP="004451EE">
      <w:pPr>
        <w:spacing w:after="120"/>
        <w:jc w:val="both"/>
        <w:rPr>
          <w:rFonts w:ascii="Arial" w:hAnsi="Arial" w:cs="Arial"/>
          <w:bCs/>
          <w:sz w:val="21"/>
          <w:szCs w:val="21"/>
        </w:rPr>
      </w:pPr>
      <w:r w:rsidRPr="004C1D16">
        <w:rPr>
          <w:rFonts w:ascii="Arial" w:hAnsi="Arial" w:cs="Arial"/>
          <w:bCs/>
          <w:sz w:val="21"/>
          <w:szCs w:val="21"/>
        </w:rPr>
        <w:t>Infine, i dati elementari rilevati nel corso dell’indagine sono disponibili sia come file a uso pubblico mIcro</w:t>
      </w:r>
      <w:r w:rsidR="00965A69" w:rsidRPr="004C1D16">
        <w:rPr>
          <w:rFonts w:ascii="Arial" w:hAnsi="Arial" w:cs="Arial"/>
          <w:bCs/>
          <w:sz w:val="21"/>
          <w:szCs w:val="21"/>
        </w:rPr>
        <w:t>.</w:t>
      </w:r>
      <w:r w:rsidRPr="004C1D16">
        <w:rPr>
          <w:rFonts w:ascii="Arial" w:hAnsi="Arial" w:cs="Arial"/>
          <w:bCs/>
          <w:sz w:val="21"/>
          <w:szCs w:val="21"/>
        </w:rPr>
        <w:t>STAT, che si possono scaricare direttamente dal sito Istat, sia come file per la ricerca MFR, che vengono di regola rilasciati a studiosi di università o enti di ricerca a fronte della presentazione di un progetto</w:t>
      </w:r>
      <w:r w:rsidR="00965A69" w:rsidRPr="004C1D16">
        <w:rPr>
          <w:rFonts w:ascii="Arial" w:hAnsi="Arial" w:cs="Arial"/>
          <w:bCs/>
          <w:sz w:val="21"/>
          <w:szCs w:val="21"/>
        </w:rPr>
        <w:t>.</w:t>
      </w:r>
    </w:p>
    <w:p w14:paraId="7036D332" w14:textId="77777777" w:rsidR="003E2E03" w:rsidRPr="004C1D16" w:rsidRDefault="003E2E03" w:rsidP="004451EE">
      <w:pPr>
        <w:spacing w:after="120"/>
        <w:jc w:val="both"/>
        <w:rPr>
          <w:rFonts w:ascii="Arial" w:hAnsi="Arial" w:cs="Arial"/>
          <w:bCs/>
          <w:sz w:val="21"/>
          <w:szCs w:val="21"/>
        </w:rPr>
      </w:pPr>
    </w:p>
    <w:p w14:paraId="13CE6235" w14:textId="77777777" w:rsidR="00D22B81" w:rsidRPr="00566ED5" w:rsidRDefault="00D22B81" w:rsidP="00D22B81">
      <w:pPr>
        <w:pStyle w:val="NormaleWeb"/>
        <w:spacing w:before="120" w:beforeAutospacing="0" w:after="120" w:afterAutospacing="0"/>
        <w:rPr>
          <w:rFonts w:ascii="Arial" w:hAnsi="Arial" w:cs="Arial"/>
          <w:color w:val="000000" w:themeColor="text1"/>
          <w:sz w:val="36"/>
          <w:szCs w:val="36"/>
        </w:rPr>
      </w:pPr>
      <w:r w:rsidRPr="00566ED5">
        <w:rPr>
          <w:rFonts w:ascii="Georgia" w:hAnsi="Georgia"/>
          <w:bCs/>
          <w:color w:val="1F497D" w:themeColor="text2"/>
          <w:sz w:val="36"/>
          <w:szCs w:val="36"/>
        </w:rPr>
        <w:t>Per chiarimenti tecnici e metodologici</w:t>
      </w:r>
    </w:p>
    <w:tbl>
      <w:tblPr>
        <w:tblStyle w:val="Grigliatabella"/>
        <w:tblW w:w="9923" w:type="dxa"/>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D22B81" w:rsidRPr="00D22B81" w14:paraId="4C06BDF9" w14:textId="77777777" w:rsidTr="00136F83">
        <w:tc>
          <w:tcPr>
            <w:tcW w:w="3398" w:type="dxa"/>
          </w:tcPr>
          <w:p w14:paraId="6F9A4625" w14:textId="77777777" w:rsidR="00D22B81" w:rsidRDefault="00D22B81" w:rsidP="00136F83">
            <w:pPr>
              <w:pStyle w:val="NormaleWeb"/>
              <w:spacing w:before="0" w:beforeAutospacing="0" w:after="120" w:afterAutospacing="0"/>
              <w:rPr>
                <w:rFonts w:ascii="Arial" w:hAnsi="Arial" w:cs="Arial"/>
                <w:b/>
                <w:bCs/>
                <w:color w:val="1F497D"/>
                <w:sz w:val="22"/>
                <w:szCs w:val="22"/>
              </w:rPr>
            </w:pPr>
          </w:p>
          <w:p w14:paraId="0C81F0CE" w14:textId="09C47C1A" w:rsidR="00D22B81" w:rsidRPr="009B5890" w:rsidRDefault="00D22B81" w:rsidP="00136F83">
            <w:pPr>
              <w:pStyle w:val="NormaleWeb"/>
              <w:spacing w:before="0" w:beforeAutospacing="0" w:after="0" w:afterAutospacing="0"/>
              <w:rPr>
                <w:rFonts w:ascii="Arial" w:hAnsi="Arial" w:cs="Arial"/>
                <w:color w:val="1F497D"/>
                <w:sz w:val="22"/>
                <w:szCs w:val="22"/>
              </w:rPr>
            </w:pPr>
            <w:r>
              <w:rPr>
                <w:rFonts w:ascii="Arial" w:hAnsi="Arial" w:cs="Arial"/>
                <w:b/>
                <w:bCs/>
                <w:color w:val="1F497D"/>
                <w:sz w:val="22"/>
                <w:szCs w:val="22"/>
              </w:rPr>
              <w:t>Ilaria Arigoni</w:t>
            </w:r>
          </w:p>
          <w:p w14:paraId="6FFFCFF2" w14:textId="063D07E8" w:rsidR="00D22B81" w:rsidRDefault="009348A4" w:rsidP="00136F83">
            <w:pPr>
              <w:pStyle w:val="NormaleWeb"/>
              <w:spacing w:before="0" w:beforeAutospacing="0" w:after="0" w:afterAutospacing="0"/>
              <w:rPr>
                <w:rFonts w:ascii="Arial" w:hAnsi="Arial" w:cs="Arial"/>
                <w:sz w:val="22"/>
                <w:szCs w:val="22"/>
              </w:rPr>
            </w:pPr>
            <w:hyperlink r:id="rId35" w:history="1">
              <w:r w:rsidR="00D22B81" w:rsidRPr="006B7E01">
                <w:rPr>
                  <w:rStyle w:val="Collegamentoipertestuale"/>
                  <w:rFonts w:ascii="Arial" w:hAnsi="Arial" w:cs="Arial"/>
                  <w:sz w:val="22"/>
                  <w:szCs w:val="22"/>
                </w:rPr>
                <w:t>arigoni@istat.it</w:t>
              </w:r>
            </w:hyperlink>
            <w:r w:rsidR="00D22B81">
              <w:rPr>
                <w:rFonts w:ascii="Arial" w:hAnsi="Arial" w:cs="Arial"/>
                <w:sz w:val="22"/>
                <w:szCs w:val="22"/>
              </w:rPr>
              <w:t xml:space="preserve"> </w:t>
            </w:r>
          </w:p>
          <w:p w14:paraId="43D97132" w14:textId="77777777" w:rsidR="00D22B81" w:rsidRDefault="00D22B81" w:rsidP="00136F83">
            <w:pPr>
              <w:pStyle w:val="NormaleWeb"/>
              <w:spacing w:before="0" w:beforeAutospacing="0" w:after="0" w:afterAutospacing="0"/>
              <w:rPr>
                <w:rFonts w:ascii="Arial" w:hAnsi="Arial" w:cs="Arial"/>
                <w:bCs/>
                <w:sz w:val="20"/>
                <w:szCs w:val="20"/>
              </w:rPr>
            </w:pPr>
          </w:p>
        </w:tc>
        <w:tc>
          <w:tcPr>
            <w:tcW w:w="3398" w:type="dxa"/>
          </w:tcPr>
          <w:p w14:paraId="07D875CA" w14:textId="77777777" w:rsidR="00D22B81" w:rsidRDefault="00D22B81" w:rsidP="00136F83">
            <w:pPr>
              <w:pStyle w:val="NormaleWeb"/>
              <w:spacing w:before="0" w:beforeAutospacing="0" w:after="120" w:afterAutospacing="0"/>
              <w:rPr>
                <w:rFonts w:ascii="Arial" w:hAnsi="Arial" w:cs="Arial"/>
                <w:b/>
                <w:bCs/>
                <w:color w:val="1F497D"/>
                <w:sz w:val="22"/>
                <w:szCs w:val="22"/>
              </w:rPr>
            </w:pPr>
          </w:p>
          <w:p w14:paraId="162B8C12" w14:textId="3BB8CFE6" w:rsidR="00D22B81" w:rsidRPr="00D22B81" w:rsidRDefault="00D22B81" w:rsidP="00136F83">
            <w:pPr>
              <w:pStyle w:val="NormaleWeb"/>
              <w:spacing w:before="0" w:beforeAutospacing="0" w:after="0" w:afterAutospacing="0"/>
              <w:rPr>
                <w:rFonts w:ascii="Arial" w:hAnsi="Arial" w:cs="Arial"/>
                <w:b/>
                <w:bCs/>
                <w:color w:val="1F497D"/>
                <w:sz w:val="22"/>
                <w:szCs w:val="22"/>
                <w:lang w:val="en-US"/>
              </w:rPr>
            </w:pPr>
            <w:r w:rsidRPr="00D22B81">
              <w:rPr>
                <w:rFonts w:ascii="Arial" w:hAnsi="Arial" w:cs="Arial"/>
                <w:b/>
                <w:bCs/>
                <w:color w:val="1F497D"/>
                <w:sz w:val="22"/>
                <w:szCs w:val="22"/>
                <w:lang w:val="en-US"/>
              </w:rPr>
              <w:t>Andrea Cutillo</w:t>
            </w:r>
          </w:p>
          <w:p w14:paraId="1FA93F2B" w14:textId="1BD68F92" w:rsidR="00D22B81" w:rsidRPr="00D22B81" w:rsidRDefault="009348A4" w:rsidP="00136F83">
            <w:pPr>
              <w:pStyle w:val="NormaleWeb"/>
              <w:spacing w:before="0" w:beforeAutospacing="0" w:after="0" w:afterAutospacing="0"/>
              <w:rPr>
                <w:rStyle w:val="Collegamentoipertestuale"/>
                <w:lang w:val="en-US"/>
              </w:rPr>
            </w:pPr>
            <w:hyperlink r:id="rId36" w:history="1">
              <w:r w:rsidR="00D22B81" w:rsidRPr="006B7E01">
                <w:rPr>
                  <w:rStyle w:val="Collegamentoipertestuale"/>
                  <w:rFonts w:ascii="Arial" w:hAnsi="Arial" w:cs="Arial"/>
                  <w:sz w:val="22"/>
                  <w:szCs w:val="22"/>
                  <w:lang w:val="en-US"/>
                </w:rPr>
                <w:t>cutillo@istat.it</w:t>
              </w:r>
            </w:hyperlink>
          </w:p>
          <w:p w14:paraId="3AE92A0A" w14:textId="77777777" w:rsidR="00D22B81" w:rsidRPr="00D22B81" w:rsidRDefault="00D22B81" w:rsidP="00136F83">
            <w:pPr>
              <w:autoSpaceDE w:val="0"/>
              <w:autoSpaceDN w:val="0"/>
              <w:adjustRightInd w:val="0"/>
              <w:spacing w:after="120"/>
              <w:jc w:val="both"/>
              <w:rPr>
                <w:rFonts w:ascii="Arial" w:hAnsi="Arial" w:cs="Arial"/>
                <w:color w:val="1F497D"/>
                <w:sz w:val="22"/>
                <w:szCs w:val="22"/>
                <w:lang w:val="en-US"/>
              </w:rPr>
            </w:pPr>
          </w:p>
          <w:p w14:paraId="1DFE9E2C" w14:textId="77777777" w:rsidR="00D22B81" w:rsidRPr="00D22B81" w:rsidRDefault="00D22B81" w:rsidP="00136F83">
            <w:pPr>
              <w:pStyle w:val="NormaleWeb"/>
              <w:spacing w:before="0" w:beforeAutospacing="0" w:after="0" w:afterAutospacing="0"/>
              <w:rPr>
                <w:rFonts w:ascii="Arial" w:hAnsi="Arial" w:cs="Arial"/>
                <w:bCs/>
                <w:sz w:val="20"/>
                <w:szCs w:val="20"/>
                <w:lang w:val="en-US"/>
              </w:rPr>
            </w:pPr>
          </w:p>
        </w:tc>
      </w:tr>
    </w:tbl>
    <w:p w14:paraId="39B2D7F1" w14:textId="77777777" w:rsidR="00D22B81" w:rsidRPr="00D22B81" w:rsidRDefault="00D22B81" w:rsidP="00D22B81">
      <w:pPr>
        <w:pStyle w:val="Titolo3"/>
        <w:spacing w:before="0" w:beforeAutospacing="0" w:after="120" w:afterAutospacing="0" w:line="360" w:lineRule="auto"/>
        <w:rPr>
          <w:rFonts w:ascii="Arial" w:hAnsi="Arial" w:cs="Arial"/>
          <w:b w:val="0"/>
          <w:bCs w:val="0"/>
          <w:sz w:val="26"/>
          <w:szCs w:val="26"/>
          <w:lang w:val="en-US"/>
        </w:rPr>
      </w:pPr>
    </w:p>
    <w:p w14:paraId="38976BB8" w14:textId="538B051F" w:rsidR="00BF31AF" w:rsidRPr="00D22B81" w:rsidRDefault="00BF31AF" w:rsidP="004451EE">
      <w:pPr>
        <w:spacing w:after="120"/>
        <w:jc w:val="both"/>
        <w:rPr>
          <w:rFonts w:ascii="Arial" w:hAnsi="Arial" w:cs="Arial"/>
          <w:bCs/>
          <w:sz w:val="20"/>
          <w:szCs w:val="20"/>
          <w:lang w:val="en-US"/>
        </w:rPr>
      </w:pPr>
    </w:p>
    <w:p w14:paraId="175067B5" w14:textId="1BA94881" w:rsidR="00BF31AF" w:rsidRPr="00D22B81" w:rsidRDefault="00BF31AF" w:rsidP="004451EE">
      <w:pPr>
        <w:spacing w:after="120"/>
        <w:jc w:val="both"/>
        <w:rPr>
          <w:rFonts w:ascii="Arial" w:hAnsi="Arial" w:cs="Arial"/>
          <w:bCs/>
          <w:sz w:val="20"/>
          <w:szCs w:val="20"/>
          <w:lang w:val="en-US"/>
        </w:rPr>
      </w:pPr>
    </w:p>
    <w:sectPr w:rsidR="00BF31AF" w:rsidRPr="00D22B81" w:rsidSect="008B40E5">
      <w:footerReference w:type="default" r:id="rId37"/>
      <w:type w:val="continuous"/>
      <w:pgSz w:w="11906" w:h="16838" w:code="9"/>
      <w:pgMar w:top="567" w:right="851" w:bottom="680" w:left="851" w:header="0" w:footer="737"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4A4F2" w14:textId="77777777" w:rsidR="009348A4" w:rsidRDefault="009348A4">
      <w:r>
        <w:separator/>
      </w:r>
    </w:p>
  </w:endnote>
  <w:endnote w:type="continuationSeparator" w:id="0">
    <w:p w14:paraId="294EB8E2" w14:textId="77777777" w:rsidR="009348A4" w:rsidRDefault="00934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33D1" w14:textId="77777777" w:rsidR="00E54B3D" w:rsidRDefault="00E54B3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742A2E1" w14:textId="77777777" w:rsidR="00E54B3D" w:rsidRDefault="00E54B3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335918"/>
      <w:docPartObj>
        <w:docPartGallery w:val="Page Numbers (Bottom of Page)"/>
        <w:docPartUnique/>
      </w:docPartObj>
    </w:sdtPr>
    <w:sdtEndPr/>
    <w:sdtContent>
      <w:p w14:paraId="7919EBF1" w14:textId="717F4693" w:rsidR="00E54B3D" w:rsidRDefault="00E54B3D">
        <w:pPr>
          <w:pStyle w:val="Pidipagina"/>
        </w:pPr>
        <w:r>
          <w:fldChar w:fldCharType="begin"/>
        </w:r>
        <w:r>
          <w:instrText>PAGE   \* MERGEFORMAT</w:instrText>
        </w:r>
        <w:r>
          <w:fldChar w:fldCharType="separate"/>
        </w:r>
        <w:r>
          <w:rPr>
            <w:noProof/>
          </w:rPr>
          <w:t>2</w:t>
        </w:r>
        <w:r>
          <w:fldChar w:fldCharType="end"/>
        </w:r>
      </w:p>
    </w:sdtContent>
  </w:sdt>
  <w:p w14:paraId="727D6E70" w14:textId="77777777" w:rsidR="00E54B3D" w:rsidRDefault="00E54B3D"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89D4" w14:textId="3A6167FC" w:rsidR="00E54B3D" w:rsidRPr="00C469C4" w:rsidRDefault="00E54B3D" w:rsidP="00C469C4">
    <w:pPr>
      <w:pStyle w:val="Pidipagina"/>
      <w:ind w:left="-851"/>
      <w:rPr>
        <w:sz w:val="18"/>
      </w:rPr>
    </w:pPr>
    <w:r w:rsidRPr="00D36162">
      <w:rPr>
        <w:noProof/>
        <w:sz w:val="18"/>
      </w:rPr>
      <mc:AlternateContent>
        <mc:Choice Requires="wps">
          <w:drawing>
            <wp:anchor distT="0" distB="0" distL="114300" distR="114300" simplePos="0" relativeHeight="251678208" behindDoc="0" locked="0" layoutInCell="1" allowOverlap="1" wp14:anchorId="4BC879D4" wp14:editId="68503D2F">
              <wp:simplePos x="0" y="0"/>
              <wp:positionH relativeFrom="column">
                <wp:posOffset>-26035</wp:posOffset>
              </wp:positionH>
              <wp:positionV relativeFrom="paragraph">
                <wp:posOffset>626745</wp:posOffset>
              </wp:positionV>
              <wp:extent cx="3648883" cy="762000"/>
              <wp:effectExtent l="0" t="0" r="8890" b="0"/>
              <wp:wrapNone/>
              <wp:docPr id="6" name="Casella di testo 6"/>
              <wp:cNvGraphicFramePr/>
              <a:graphic xmlns:a="http://schemas.openxmlformats.org/drawingml/2006/main">
                <a:graphicData uri="http://schemas.microsoft.com/office/word/2010/wordprocessingShape">
                  <wps:wsp>
                    <wps:cNvSpPr txBox="1"/>
                    <wps:spPr>
                      <a:xfrm>
                        <a:off x="0" y="0"/>
                        <a:ext cx="3648883" cy="762000"/>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54B3D" w:rsidRPr="00E54B3D" w14:paraId="12B85018" w14:textId="77777777" w:rsidTr="0014586D">
                            <w:trPr>
                              <w:trHeight w:val="1195"/>
                            </w:trPr>
                            <w:tc>
                              <w:tcPr>
                                <w:tcW w:w="3544" w:type="dxa"/>
                              </w:tcPr>
                              <w:p w14:paraId="67B319CD" w14:textId="77777777" w:rsidR="00E54B3D" w:rsidRPr="004649F8" w:rsidRDefault="00E54B3D" w:rsidP="0014586D">
                                <w:pPr>
                                  <w:rPr>
                                    <w:rFonts w:ascii="Arial Narrow" w:hAnsi="Arial Narrow"/>
                                    <w:b/>
                                    <w:bCs/>
                                    <w:color w:val="1F497D"/>
                                  </w:rPr>
                                </w:pPr>
                                <w:r w:rsidRPr="004649F8">
                                  <w:rPr>
                                    <w:rFonts w:ascii="Arial Narrow" w:hAnsi="Arial Narrow"/>
                                    <w:b/>
                                    <w:bCs/>
                                    <w:color w:val="1F497D"/>
                                  </w:rPr>
                                  <w:t>UFFICIO STAMPA</w:t>
                                </w:r>
                              </w:p>
                              <w:p w14:paraId="5CF1AAFB" w14:textId="77777777" w:rsidR="00E54B3D" w:rsidRPr="004649F8" w:rsidRDefault="00E54B3D" w:rsidP="0014586D">
                                <w:pPr>
                                  <w:rPr>
                                    <w:rFonts w:ascii="Arial Narrow" w:hAnsi="Arial Narrow"/>
                                    <w:color w:val="1F497D"/>
                                  </w:rPr>
                                </w:pPr>
                                <w:r w:rsidRPr="004649F8">
                                  <w:rPr>
                                    <w:rFonts w:ascii="Arial Narrow" w:hAnsi="Arial Narrow"/>
                                    <w:color w:val="1F497D"/>
                                  </w:rPr>
                                  <w:t>tel. +39 06 4673.2243/44</w:t>
                                </w:r>
                              </w:p>
                              <w:p w14:paraId="3E395366" w14:textId="77777777" w:rsidR="00E54B3D" w:rsidRPr="004649F8" w:rsidRDefault="009348A4" w:rsidP="0014586D">
                                <w:pPr>
                                  <w:rPr>
                                    <w:rFonts w:ascii="Arial Narrow" w:hAnsi="Arial Narrow"/>
                                    <w:color w:val="1F497D"/>
                                  </w:rPr>
                                </w:pPr>
                                <w:hyperlink r:id="rId1" w:history="1">
                                  <w:r w:rsidR="00E54B3D" w:rsidRPr="002E68C4">
                                    <w:rPr>
                                      <w:rStyle w:val="Collegamentoipertestuale"/>
                                      <w:rFonts w:ascii="Arial Narrow" w:hAnsi="Arial Narrow"/>
                                      <w:color w:val="023859"/>
                                    </w:rPr>
                                    <w:t>ufficiostampa@istat.it</w:t>
                                  </w:r>
                                </w:hyperlink>
                              </w:p>
                            </w:tc>
                            <w:tc>
                              <w:tcPr>
                                <w:tcW w:w="2126" w:type="dxa"/>
                              </w:tcPr>
                              <w:p w14:paraId="38413F54" w14:textId="77777777" w:rsidR="00E54B3D" w:rsidRPr="002E68C4" w:rsidRDefault="00E54B3D" w:rsidP="0014586D">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2" w:history="1">
                                  <w:r w:rsidRPr="002E68C4">
                                    <w:rPr>
                                      <w:rStyle w:val="Collegamentoipertestuale"/>
                                      <w:rFonts w:ascii="Arial Narrow" w:hAnsi="Arial Narrow"/>
                                      <w:color w:val="023859"/>
                                      <w:lang w:val="en-US"/>
                                    </w:rPr>
                                    <w:t>contact.istat.it</w:t>
                                  </w:r>
                                </w:hyperlink>
                              </w:p>
                              <w:p w14:paraId="3A275A19" w14:textId="77777777" w:rsidR="00E54B3D" w:rsidRPr="002E68C4" w:rsidRDefault="00E54B3D" w:rsidP="0014586D">
                                <w:pPr>
                                  <w:rPr>
                                    <w:rFonts w:ascii="Arial Narrow" w:hAnsi="Arial Narrow"/>
                                    <w:color w:val="1F497D"/>
                                    <w:lang w:val="en-US"/>
                                  </w:rPr>
                                </w:pPr>
                              </w:p>
                            </w:tc>
                          </w:tr>
                        </w:tbl>
                        <w:p w14:paraId="43E5687C" w14:textId="77777777" w:rsidR="00E54B3D" w:rsidRPr="004649F8" w:rsidRDefault="00E54B3D" w:rsidP="00B75A99">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879D4" id="_x0000_t202" coordsize="21600,21600" o:spt="202" path="m,l,21600r21600,l21600,xe">
              <v:stroke joinstyle="miter"/>
              <v:path gradientshapeok="t" o:connecttype="rect"/>
            </v:shapetype>
            <v:shape id="Casella di testo 6" o:spid="_x0000_s1029" type="#_x0000_t202" style="position:absolute;left:0;text-align:left;margin-left:-2.05pt;margin-top:49.35pt;width:287.3pt;height:6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" filled="f"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54B3D" w:rsidRPr="00E54B3D" w14:paraId="12B85018" w14:textId="77777777" w:rsidTr="0014586D">
                      <w:trPr>
                        <w:trHeight w:val="1195"/>
                      </w:trPr>
                      <w:tc>
                        <w:tcPr>
                          <w:tcW w:w="3544" w:type="dxa"/>
                        </w:tcPr>
                        <w:p w14:paraId="67B319CD" w14:textId="77777777" w:rsidR="00E54B3D" w:rsidRPr="004649F8" w:rsidRDefault="00E54B3D" w:rsidP="0014586D">
                          <w:pPr>
                            <w:rPr>
                              <w:rFonts w:ascii="Arial Narrow" w:hAnsi="Arial Narrow"/>
                              <w:b/>
                              <w:bCs/>
                              <w:color w:val="1F497D"/>
                            </w:rPr>
                          </w:pPr>
                          <w:r w:rsidRPr="004649F8">
                            <w:rPr>
                              <w:rFonts w:ascii="Arial Narrow" w:hAnsi="Arial Narrow"/>
                              <w:b/>
                              <w:bCs/>
                              <w:color w:val="1F497D"/>
                            </w:rPr>
                            <w:t>UFFICIO STAMPA</w:t>
                          </w:r>
                        </w:p>
                        <w:p w14:paraId="5CF1AAFB" w14:textId="77777777" w:rsidR="00E54B3D" w:rsidRPr="004649F8" w:rsidRDefault="00E54B3D" w:rsidP="0014586D">
                          <w:pPr>
                            <w:rPr>
                              <w:rFonts w:ascii="Arial Narrow" w:hAnsi="Arial Narrow"/>
                              <w:color w:val="1F497D"/>
                            </w:rPr>
                          </w:pPr>
                          <w:r w:rsidRPr="004649F8">
                            <w:rPr>
                              <w:rFonts w:ascii="Arial Narrow" w:hAnsi="Arial Narrow"/>
                              <w:color w:val="1F497D"/>
                            </w:rPr>
                            <w:t>tel. +39 06 4673.2243/44</w:t>
                          </w:r>
                        </w:p>
                        <w:p w14:paraId="3E395366" w14:textId="77777777" w:rsidR="00E54B3D" w:rsidRPr="004649F8" w:rsidRDefault="009348A4" w:rsidP="0014586D">
                          <w:pPr>
                            <w:rPr>
                              <w:rFonts w:ascii="Arial Narrow" w:hAnsi="Arial Narrow"/>
                              <w:color w:val="1F497D"/>
                            </w:rPr>
                          </w:pPr>
                          <w:hyperlink r:id="rId3" w:history="1">
                            <w:r w:rsidR="00E54B3D" w:rsidRPr="002E68C4">
                              <w:rPr>
                                <w:rStyle w:val="Collegamentoipertestuale"/>
                                <w:rFonts w:ascii="Arial Narrow" w:hAnsi="Arial Narrow"/>
                                <w:color w:val="023859"/>
                              </w:rPr>
                              <w:t>ufficiostampa@istat.it</w:t>
                            </w:r>
                          </w:hyperlink>
                        </w:p>
                      </w:tc>
                      <w:tc>
                        <w:tcPr>
                          <w:tcW w:w="2126" w:type="dxa"/>
                        </w:tcPr>
                        <w:p w14:paraId="38413F54" w14:textId="77777777" w:rsidR="00E54B3D" w:rsidRPr="002E68C4" w:rsidRDefault="00E54B3D" w:rsidP="0014586D">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4" w:history="1">
                            <w:r w:rsidRPr="002E68C4">
                              <w:rPr>
                                <w:rStyle w:val="Collegamentoipertestuale"/>
                                <w:rFonts w:ascii="Arial Narrow" w:hAnsi="Arial Narrow"/>
                                <w:color w:val="023859"/>
                                <w:lang w:val="en-US"/>
                              </w:rPr>
                              <w:t>contact.istat.it</w:t>
                            </w:r>
                          </w:hyperlink>
                        </w:p>
                        <w:p w14:paraId="3A275A19" w14:textId="77777777" w:rsidR="00E54B3D" w:rsidRPr="002E68C4" w:rsidRDefault="00E54B3D" w:rsidP="0014586D">
                          <w:pPr>
                            <w:rPr>
                              <w:rFonts w:ascii="Arial Narrow" w:hAnsi="Arial Narrow"/>
                              <w:color w:val="1F497D"/>
                              <w:lang w:val="en-US"/>
                            </w:rPr>
                          </w:pPr>
                        </w:p>
                      </w:tc>
                    </w:tr>
                  </w:tbl>
                  <w:p w14:paraId="43E5687C" w14:textId="77777777" w:rsidR="00E54B3D" w:rsidRPr="004649F8" w:rsidRDefault="00E54B3D" w:rsidP="00B75A99">
                    <w:pPr>
                      <w:rPr>
                        <w:rFonts w:ascii="Arial Narrow" w:hAnsi="Arial Narrow"/>
                        <w:color w:val="1F497D"/>
                        <w:lang w:val="en-US"/>
                      </w:rPr>
                    </w:pPr>
                  </w:p>
                </w:txbxContent>
              </v:textbox>
            </v:shape>
          </w:pict>
        </mc:Fallback>
      </mc:AlternateContent>
    </w:r>
    <w:r w:rsidRPr="00D36162">
      <w:rPr>
        <w:noProof/>
        <w:sz w:val="18"/>
      </w:rPr>
      <w:drawing>
        <wp:inline distT="0" distB="0" distL="0" distR="0" wp14:anchorId="02FEFCBC" wp14:editId="7AFFE484">
          <wp:extent cx="7534800" cy="16416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5"/>
                  <a:stretch>
                    <a:fillRect/>
                  </a:stretch>
                </pic:blipFill>
                <pic:spPr>
                  <a:xfrm>
                    <a:off x="0" y="0"/>
                    <a:ext cx="7534800" cy="164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ghlight w:val="lightGray"/>
      </w:rPr>
      <w:id w:val="-1302685971"/>
      <w:docPartObj>
        <w:docPartGallery w:val="Page Numbers (Bottom of Page)"/>
        <w:docPartUnique/>
      </w:docPartObj>
    </w:sdtPr>
    <w:sdtEndPr/>
    <w:sdtContent>
      <w:p w14:paraId="18F1D8F9" w14:textId="63BBD040" w:rsidR="00E54B3D" w:rsidRDefault="00E54B3D">
        <w:pPr>
          <w:rPr>
            <w:rFonts w:asciiTheme="majorHAnsi" w:eastAsiaTheme="majorEastAsia" w:hAnsiTheme="majorHAnsi" w:cstheme="majorBidi"/>
          </w:rPr>
        </w:pPr>
        <w:r>
          <w:rPr>
            <w:noProof/>
            <w:sz w:val="28"/>
            <w:szCs w:val="28"/>
          </w:rPr>
          <mc:AlternateContent>
            <mc:Choice Requires="wps">
              <w:drawing>
                <wp:anchor distT="4294967295" distB="4294967295" distL="114300" distR="114300" simplePos="0" relativeHeight="251646464" behindDoc="0" locked="0" layoutInCell="1" allowOverlap="1" wp14:anchorId="58CCC277" wp14:editId="6E3D1E70">
                  <wp:simplePos x="0" y="0"/>
                  <wp:positionH relativeFrom="column">
                    <wp:posOffset>-3810</wp:posOffset>
                  </wp:positionH>
                  <wp:positionV relativeFrom="paragraph">
                    <wp:posOffset>-71755</wp:posOffset>
                  </wp:positionV>
                  <wp:extent cx="6299835" cy="0"/>
                  <wp:effectExtent l="0" t="0" r="24765" b="19050"/>
                  <wp:wrapNone/>
                  <wp:docPr id="30" name="Connettore 1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DD2CD9" id="Connettore 1 3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5.65pt" to="495.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" strokecolor="white [3212]" strokeweight="1.25pt">
                  <o:lock v:ext="edit" shapetype="f"/>
                </v:line>
              </w:pict>
            </mc:Fallback>
          </mc:AlternateContent>
        </w:r>
        <w:r>
          <w:rPr>
            <w:noProof/>
            <w:sz w:val="28"/>
            <w:szCs w:val="28"/>
          </w:rPr>
          <mc:AlternateContent>
            <mc:Choice Requires="wps">
              <w:drawing>
                <wp:anchor distT="4294967295" distB="4294967295" distL="114300" distR="114300" simplePos="0" relativeHeight="251645440" behindDoc="0" locked="0" layoutInCell="1" allowOverlap="1" wp14:anchorId="26D6D613" wp14:editId="37310297">
                  <wp:simplePos x="0" y="0"/>
                  <wp:positionH relativeFrom="column">
                    <wp:posOffset>-2870</wp:posOffset>
                  </wp:positionH>
                  <wp:positionV relativeFrom="paragraph">
                    <wp:posOffset>-2493645</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C0E97E" id="Connettore 1 28"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96.35pt" to="495.8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" strokecolor="white [3212]" strokeweight="1.25pt">
                  <o:lock v:ext="edit" shapetype="f"/>
                </v:line>
              </w:pict>
            </mc:Fallback>
          </mc:AlternateContent>
        </w:r>
        <w:r w:rsidRPr="00A17739">
          <w:rPr>
            <w:rFonts w:ascii="Arial" w:hAnsi="Arial" w:cs="Arial"/>
            <w:noProof/>
            <w:sz w:val="22"/>
            <w:szCs w:val="22"/>
          </w:rPr>
          <w:drawing>
            <wp:anchor distT="0" distB="0" distL="114300" distR="114300" simplePos="0" relativeHeight="251644416" behindDoc="0" locked="0" layoutInCell="1" allowOverlap="1" wp14:anchorId="68E2F750" wp14:editId="2EE7E4A7">
              <wp:simplePos x="0" y="0"/>
              <wp:positionH relativeFrom="column">
                <wp:posOffset>-545465</wp:posOffset>
              </wp:positionH>
              <wp:positionV relativeFrom="paragraph">
                <wp:posOffset>-3345505</wp:posOffset>
              </wp:positionV>
              <wp:extent cx="466725" cy="483235"/>
              <wp:effectExtent l="0" t="0" r="9525" b="0"/>
              <wp:wrapNone/>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1631510004"/>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43392" behindDoc="0" locked="0" layoutInCell="0" allowOverlap="1" wp14:anchorId="03B976F7" wp14:editId="7D159700">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8780" cy="329565"/>
                              </a:xfrm>
                              <a:prstGeom prst="rect">
                                <a:avLst/>
                              </a:prstGeom>
                              <a:noFill/>
                            </wps:spPr>
                            <wps:txbx>
                              <w:txbxContent>
                                <w:p w14:paraId="222E345C" w14:textId="1B369ED5" w:rsidR="00E54B3D" w:rsidRPr="001B745D" w:rsidRDefault="00E54B3D"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4C1D16">
                                    <w:rPr>
                                      <w:rFonts w:ascii="Arial" w:hAnsi="Arial" w:cs="Arial"/>
                                      <w:b/>
                                      <w:noProof/>
                                      <w:color w:val="244061" w:themeColor="accent1" w:themeShade="80"/>
                                      <w:sz w:val="20"/>
                                      <w:szCs w:val="20"/>
                                    </w:rPr>
                                    <w:t>10</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3B976F7" id="Rettangolo 4" o:spid="_x0000_s1030" style="position:absolute;margin-left:14.1pt;margin-top:768.35pt;width:31.4pt;height:25.95pt;z-index:25164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" o:allowincell="f" filled="f" stroked="f">
                      <o:lock v:ext="edit" aspectratio="t"/>
                      <v:textbox>
                        <w:txbxContent>
                          <w:p w14:paraId="222E345C" w14:textId="1B369ED5" w:rsidR="00E54B3D" w:rsidRPr="001B745D" w:rsidRDefault="00E54B3D"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4C1D16">
                              <w:rPr>
                                <w:rFonts w:ascii="Arial" w:hAnsi="Arial" w:cs="Arial"/>
                                <w:b/>
                                <w:noProof/>
                                <w:color w:val="244061" w:themeColor="accent1" w:themeShade="80"/>
                                <w:sz w:val="20"/>
                                <w:szCs w:val="20"/>
                              </w:rPr>
                              <w:t>10</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42368" behindDoc="0" locked="0" layoutInCell="1" allowOverlap="1" wp14:anchorId="404EE0D2" wp14:editId="2D13C204">
                  <wp:simplePos x="0" y="0"/>
                  <wp:positionH relativeFrom="column">
                    <wp:posOffset>5678170</wp:posOffset>
                  </wp:positionH>
                  <wp:positionV relativeFrom="paragraph">
                    <wp:posOffset>-263525</wp:posOffset>
                  </wp:positionV>
                  <wp:extent cx="1256030" cy="788035"/>
                  <wp:effectExtent l="0" t="0" r="127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41344" behindDoc="0" locked="0" layoutInCell="1" allowOverlap="1" wp14:anchorId="6A06D23E" wp14:editId="22BC769B">
                      <wp:simplePos x="0" y="0"/>
                      <wp:positionH relativeFrom="column">
                        <wp:posOffset>-620395</wp:posOffset>
                      </wp:positionH>
                      <wp:positionV relativeFrom="paragraph">
                        <wp:posOffset>-3084195</wp:posOffset>
                      </wp:positionV>
                      <wp:extent cx="7553325" cy="3476625"/>
                      <wp:effectExtent l="0" t="0" r="9525" b="9525"/>
                      <wp:wrapNone/>
                      <wp:docPr id="10" name="Rettangol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8AEC8" id="Rettangolo 10" o:spid="_x0000_s1026" style="position:absolute;margin-left:-48.85pt;margin-top:-242.85pt;width:594.75pt;height:27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" fillcolor="#d8d8d8 [2732]" stroked="f" strokeweight="2pt">
                      <o:lock v:ext="edit" aspectratio="t"/>
                    </v:rect>
                  </w:pict>
                </mc:Fallback>
              </mc:AlternateContent>
            </w:r>
          </w:sdtContent>
        </w:sdt>
      </w:p>
    </w:sdtContent>
  </w:sdt>
  <w:p w14:paraId="111D7A23" w14:textId="77777777" w:rsidR="00E54B3D" w:rsidRDefault="00E54B3D" w:rsidP="00842757">
    <w:pPr>
      <w:pStyle w:val="Pidipagina"/>
      <w:tabs>
        <w:tab w:val="clear" w:pos="4819"/>
        <w:tab w:val="clear" w:pos="9638"/>
        <w:tab w:val="left" w:pos="777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ghlight w:val="lightGray"/>
      </w:rPr>
      <w:id w:val="-293366158"/>
      <w:docPartObj>
        <w:docPartGallery w:val="Page Numbers (Bottom of Page)"/>
        <w:docPartUnique/>
      </w:docPartObj>
    </w:sdtPr>
    <w:sdtEndPr/>
    <w:sdtContent>
      <w:p w14:paraId="56316126" w14:textId="628470B1" w:rsidR="00E54B3D" w:rsidRDefault="00E54B3D">
        <w:pPr>
          <w:rPr>
            <w:rFonts w:asciiTheme="majorHAnsi" w:eastAsiaTheme="majorEastAsia" w:hAnsiTheme="majorHAnsi" w:cstheme="majorBidi"/>
          </w:rPr>
        </w:pPr>
        <w:r>
          <w:rPr>
            <w:rFonts w:ascii="Arial Narrow" w:hAnsi="Arial Narrow"/>
            <w:noProof/>
            <w:color w:val="FFFFFF" w:themeColor="background1"/>
          </w:rPr>
          <mc:AlternateContent>
            <mc:Choice Requires="wps">
              <w:drawing>
                <wp:anchor distT="0" distB="0" distL="114300" distR="114300" simplePos="0" relativeHeight="251676160" behindDoc="0" locked="0" layoutInCell="0" allowOverlap="1" wp14:anchorId="23262B35" wp14:editId="0DE41CCE">
                  <wp:simplePos x="0" y="0"/>
                  <wp:positionH relativeFrom="rightMargin">
                    <wp:posOffset>90805</wp:posOffset>
                  </wp:positionH>
                  <wp:positionV relativeFrom="margin">
                    <wp:posOffset>9771380</wp:posOffset>
                  </wp:positionV>
                  <wp:extent cx="398780" cy="329565"/>
                  <wp:effectExtent l="0" t="0" r="0" b="0"/>
                  <wp:wrapNone/>
                  <wp:docPr id="13" name="Rettango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8780" cy="329565"/>
                          </a:xfrm>
                          <a:prstGeom prst="rect">
                            <a:avLst/>
                          </a:prstGeom>
                          <a:noFill/>
                        </wps:spPr>
                        <wps:txbx>
                          <w:txbxContent>
                            <w:p w14:paraId="3A2C3FDD" w14:textId="23F2BC63" w:rsidR="00E54B3D" w:rsidRPr="001B745D" w:rsidRDefault="00E54B3D" w:rsidP="00F34780">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4C1D16">
                                <w:rPr>
                                  <w:rFonts w:ascii="Arial" w:hAnsi="Arial" w:cs="Arial"/>
                                  <w:b/>
                                  <w:noProof/>
                                  <w:color w:val="244061" w:themeColor="accent1" w:themeShade="80"/>
                                  <w:sz w:val="20"/>
                                  <w:szCs w:val="20"/>
                                </w:rPr>
                                <w:t>17</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3262B35" id="_x0000_s1031" style="position:absolute;margin-left:7.15pt;margin-top:769.4pt;width:31.4pt;height:25.95pt;z-index:251676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" o:allowincell="f" filled="f" stroked="f">
                  <o:lock v:ext="edit" aspectratio="t"/>
                  <v:textbox>
                    <w:txbxContent>
                      <w:p w14:paraId="3A2C3FDD" w14:textId="23F2BC63" w:rsidR="00E54B3D" w:rsidRPr="001B745D" w:rsidRDefault="00E54B3D" w:rsidP="00F34780">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4C1D16">
                          <w:rPr>
                            <w:rFonts w:ascii="Arial" w:hAnsi="Arial" w:cs="Arial"/>
                            <w:b/>
                            <w:noProof/>
                            <w:color w:val="244061" w:themeColor="accent1" w:themeShade="80"/>
                            <w:sz w:val="20"/>
                            <w:szCs w:val="20"/>
                          </w:rPr>
                          <w:t>17</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40319" behindDoc="0" locked="0" layoutInCell="1" allowOverlap="1" wp14:anchorId="23012CE3" wp14:editId="7A15169E">
              <wp:simplePos x="0" y="0"/>
              <wp:positionH relativeFrom="column">
                <wp:posOffset>5765165</wp:posOffset>
              </wp:positionH>
              <wp:positionV relativeFrom="paragraph">
                <wp:posOffset>-128905</wp:posOffset>
              </wp:positionV>
              <wp:extent cx="1256030" cy="788035"/>
              <wp:effectExtent l="0" t="0" r="127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r>
          <w:rPr>
            <w:noProof/>
            <w:sz w:val="28"/>
            <w:szCs w:val="28"/>
          </w:rPr>
          <mc:AlternateContent>
            <mc:Choice Requires="wps">
              <w:drawing>
                <wp:anchor distT="4294967295" distB="4294967295" distL="114300" distR="114300" simplePos="0" relativeHeight="251649536" behindDoc="0" locked="0" layoutInCell="1" allowOverlap="1" wp14:anchorId="331EE93B" wp14:editId="43E65CDE">
                  <wp:simplePos x="0" y="0"/>
                  <wp:positionH relativeFrom="column">
                    <wp:posOffset>13335</wp:posOffset>
                  </wp:positionH>
                  <wp:positionV relativeFrom="paragraph">
                    <wp:posOffset>-71756</wp:posOffset>
                  </wp:positionV>
                  <wp:extent cx="6299835" cy="0"/>
                  <wp:effectExtent l="0" t="0" r="24765" b="19050"/>
                  <wp:wrapNone/>
                  <wp:docPr id="45" name="Connettore 1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7F678B" id="Connettore 1 45"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5.65pt" to="4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" strokecolor="white [3212]" strokeweight="1.25pt">
                  <o:lock v:ext="edit" shapetype="f"/>
                </v:line>
              </w:pict>
            </mc:Fallback>
          </mc:AlternateContent>
        </w:r>
        <w:r>
          <w:rPr>
            <w:noProof/>
            <w:sz w:val="28"/>
            <w:szCs w:val="28"/>
          </w:rPr>
          <mc:AlternateContent>
            <mc:Choice Requires="wps">
              <w:drawing>
                <wp:anchor distT="4294967295" distB="4294967295" distL="114300" distR="114300" simplePos="0" relativeHeight="251648512" behindDoc="0" locked="0" layoutInCell="1" allowOverlap="1" wp14:anchorId="778581B8" wp14:editId="57CE5E36">
                  <wp:simplePos x="0" y="0"/>
                  <wp:positionH relativeFrom="column">
                    <wp:posOffset>13970</wp:posOffset>
                  </wp:positionH>
                  <wp:positionV relativeFrom="paragraph">
                    <wp:posOffset>-2493646</wp:posOffset>
                  </wp:positionV>
                  <wp:extent cx="6299835" cy="0"/>
                  <wp:effectExtent l="0" t="0" r="24765" b="19050"/>
                  <wp:wrapNone/>
                  <wp:docPr id="46" name="Connettore 1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A6E847" id="Connettore 1 46"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196.35pt" to="497.1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" strokecolor="white [3212]" strokeweight="1.25pt">
                  <o:lock v:ext="edit" shapetype="f"/>
                </v:line>
              </w:pict>
            </mc:Fallback>
          </mc:AlternateContent>
        </w:r>
        <w:sdt>
          <w:sdtPr>
            <w:rPr>
              <w:rFonts w:asciiTheme="majorHAnsi" w:eastAsiaTheme="majorEastAsia" w:hAnsiTheme="majorHAnsi" w:cstheme="majorBidi"/>
              <w:highlight w:val="lightGray"/>
            </w:rPr>
            <w:id w:val="-106426946"/>
            <w:docPartObj>
              <w:docPartGallery w:val="Page Numbers (Margins)"/>
              <w:docPartUnique/>
            </w:docPartObj>
          </w:sdtPr>
          <w:sdtEndP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85EE5" w14:textId="77777777" w:rsidR="009348A4" w:rsidRDefault="009348A4">
      <w:r>
        <w:separator/>
      </w:r>
    </w:p>
  </w:footnote>
  <w:footnote w:type="continuationSeparator" w:id="0">
    <w:p w14:paraId="74F972D1" w14:textId="77777777" w:rsidR="009348A4" w:rsidRDefault="00934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FC5D" w14:textId="77777777" w:rsidR="00E54B3D" w:rsidRDefault="00E54B3D"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199F4EE2" wp14:editId="0FA1E2EF">
              <wp:simplePos x="0" y="0"/>
              <wp:positionH relativeFrom="column">
                <wp:posOffset>5383530</wp:posOffset>
              </wp:positionH>
              <wp:positionV relativeFrom="paragraph">
                <wp:posOffset>-57785</wp:posOffset>
              </wp:positionV>
              <wp:extent cx="1625600" cy="3962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2C37A5C5" w14:textId="77777777" w:rsidR="00E54B3D" w:rsidRPr="00A804E3" w:rsidRDefault="00E54B3D" w:rsidP="00DF2FE2">
                          <w:pPr>
                            <w:autoSpaceDE w:val="0"/>
                            <w:autoSpaceDN w:val="0"/>
                            <w:adjustRightInd w:val="0"/>
                            <w:jc w:val="center"/>
                            <w:rPr>
                              <w:rFonts w:ascii="Arial Narrow" w:hAnsi="Arial Narrow" w:cs="Arial"/>
                              <w:b/>
                              <w:bCs/>
                              <w:color w:val="FFFFFF" w:themeColor="background1"/>
                              <w:sz w:val="8"/>
                              <w:szCs w:val="26"/>
                            </w:rPr>
                          </w:pPr>
                        </w:p>
                        <w:p w14:paraId="6DDF37E7" w14:textId="0ADDC3D8" w:rsidR="00E54B3D" w:rsidRPr="00690C34" w:rsidRDefault="00E54B3D"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09 GIUGNO</w:t>
                          </w:r>
                          <w:r w:rsidRPr="00690C34">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21</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F4EE2" id="_x0000_t202" coordsize="21600,21600" o:spt="202" path="m,l,21600r21600,l21600,xe">
              <v:stroke joinstyle="miter"/>
              <v:path gradientshapeok="t" o:connecttype="rect"/>
            </v:shapetype>
            <v:shape id="Text Box 2" o:spid="_x0000_s1028" type="#_x0000_t202" style="position:absolute;left:0;text-align:left;margin-left:423.9pt;margin-top:-4.55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" fillcolor="#1f497d [3215]" stroked="f">
              <v:textbox inset="1.5mm,,1.5mm">
                <w:txbxContent>
                  <w:p w14:paraId="2C37A5C5" w14:textId="77777777" w:rsidR="00E54B3D" w:rsidRPr="00A804E3" w:rsidRDefault="00E54B3D" w:rsidP="00DF2FE2">
                    <w:pPr>
                      <w:autoSpaceDE w:val="0"/>
                      <w:autoSpaceDN w:val="0"/>
                      <w:adjustRightInd w:val="0"/>
                      <w:jc w:val="center"/>
                      <w:rPr>
                        <w:rFonts w:ascii="Arial Narrow" w:hAnsi="Arial Narrow" w:cs="Arial"/>
                        <w:b/>
                        <w:bCs/>
                        <w:color w:val="FFFFFF" w:themeColor="background1"/>
                        <w:sz w:val="8"/>
                        <w:szCs w:val="26"/>
                      </w:rPr>
                    </w:pPr>
                  </w:p>
                  <w:p w14:paraId="6DDF37E7" w14:textId="0ADDC3D8" w:rsidR="00E54B3D" w:rsidRPr="00690C34" w:rsidRDefault="00E54B3D"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09 GIUGNO</w:t>
                    </w:r>
                    <w:r w:rsidRPr="00690C34">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21</w:t>
                    </w:r>
                  </w:p>
                </w:txbxContent>
              </v:textbox>
            </v:shape>
          </w:pict>
        </mc:Fallback>
      </mc:AlternateContent>
    </w:r>
    <w:r>
      <w:rPr>
        <w:noProof/>
      </w:rPr>
      <w:drawing>
        <wp:inline distT="0" distB="0" distL="0" distR="0" wp14:anchorId="508BB274" wp14:editId="1A49FEDC">
          <wp:extent cx="7560000" cy="164520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640"/>
      <w:gridCol w:w="2699"/>
    </w:tblGrid>
    <w:tr w:rsidR="00E54B3D" w:rsidRPr="00DD6CCE" w14:paraId="69590D4F" w14:textId="77777777" w:rsidTr="008D6A83">
      <w:trPr>
        <w:trHeight w:hRule="exact" w:val="567"/>
      </w:trPr>
      <w:tc>
        <w:tcPr>
          <w:tcW w:w="9640" w:type="dxa"/>
          <w:shd w:val="clear" w:color="auto" w:fill="1F497D" w:themeFill="text2"/>
          <w:vAlign w:val="center"/>
        </w:tcPr>
        <w:p w14:paraId="7A6854BD" w14:textId="1B1ABDB7" w:rsidR="00E54B3D" w:rsidRPr="005D6783" w:rsidRDefault="00E54B3D" w:rsidP="008201C0">
          <w:pPr>
            <w:pStyle w:val="Intestazione"/>
            <w:spacing w:before="120"/>
            <w:ind w:left="431"/>
            <w:jc w:val="left"/>
            <w:rPr>
              <w:rFonts w:ascii="Arial Narrow" w:hAnsi="Arial Narrow"/>
              <w:color w:val="FFFFFF" w:themeColor="background1"/>
              <w:sz w:val="24"/>
            </w:rPr>
          </w:pPr>
          <w:r>
            <w:rPr>
              <w:rFonts w:ascii="Arial Narrow" w:hAnsi="Arial Narrow"/>
              <w:color w:val="FFFFFF" w:themeColor="background1"/>
              <w:sz w:val="24"/>
            </w:rPr>
            <w:t>SPESE DELLE FAMIGLIE</w:t>
          </w:r>
        </w:p>
      </w:tc>
      <w:tc>
        <w:tcPr>
          <w:tcW w:w="2699" w:type="dxa"/>
          <w:shd w:val="clear" w:color="auto" w:fill="1F497D" w:themeFill="text2"/>
          <w:vAlign w:val="center"/>
        </w:tcPr>
        <w:p w14:paraId="0F87D73E" w14:textId="77777777" w:rsidR="00E54B3D" w:rsidRPr="00DD6CCE" w:rsidRDefault="00E54B3D" w:rsidP="00D7426E">
          <w:pPr>
            <w:pStyle w:val="Intestazione"/>
            <w:ind w:left="284" w:hanging="100"/>
            <w:jc w:val="left"/>
            <w:rPr>
              <w:color w:val="FFFFFF" w:themeColor="background1"/>
            </w:rPr>
          </w:pPr>
          <w:r>
            <w:rPr>
              <w:noProof/>
              <w:color w:val="FFFFFF" w:themeColor="background1"/>
            </w:rPr>
            <w:drawing>
              <wp:anchor distT="0" distB="0" distL="114300" distR="114300" simplePos="0" relativeHeight="251674112" behindDoc="0" locked="0" layoutInCell="1" allowOverlap="1" wp14:anchorId="2E23D4D3" wp14:editId="0FBD1F1D">
                <wp:simplePos x="0" y="0"/>
                <wp:positionH relativeFrom="column">
                  <wp:posOffset>467360</wp:posOffset>
                </wp:positionH>
                <wp:positionV relativeFrom="paragraph">
                  <wp:posOffset>-8255</wp:posOffset>
                </wp:positionV>
                <wp:extent cx="705485" cy="201295"/>
                <wp:effectExtent l="0" t="0" r="0" b="825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705485" cy="201295"/>
                        </a:xfrm>
                        <a:prstGeom prst="rect">
                          <a:avLst/>
                        </a:prstGeom>
                      </pic:spPr>
                    </pic:pic>
                  </a:graphicData>
                </a:graphic>
                <wp14:sizeRelH relativeFrom="margin">
                  <wp14:pctWidth>0</wp14:pctWidth>
                </wp14:sizeRelH>
                <wp14:sizeRelV relativeFrom="margin">
                  <wp14:pctHeight>0</wp14:pctHeight>
                </wp14:sizeRelV>
              </wp:anchor>
            </w:drawing>
          </w:r>
        </w:p>
      </w:tc>
    </w:tr>
  </w:tbl>
  <w:p w14:paraId="18607AD9" w14:textId="77777777" w:rsidR="00E54B3D" w:rsidRPr="007D0BF5" w:rsidRDefault="00E54B3D"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139E7"/>
    <w:multiLevelType w:val="hybridMultilevel"/>
    <w:tmpl w:val="B740BE2E"/>
    <w:lvl w:ilvl="0" w:tplc="0410001B">
      <w:start w:val="1"/>
      <w:numFmt w:val="lowerRoman"/>
      <w:lvlText w:val="%1."/>
      <w:lvlJc w:val="righ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FF"/>
    <w:rsid w:val="000009DB"/>
    <w:rsid w:val="00000DE6"/>
    <w:rsid w:val="00001256"/>
    <w:rsid w:val="00001763"/>
    <w:rsid w:val="000020C7"/>
    <w:rsid w:val="00002177"/>
    <w:rsid w:val="0000396F"/>
    <w:rsid w:val="000042EB"/>
    <w:rsid w:val="00004548"/>
    <w:rsid w:val="00005D6F"/>
    <w:rsid w:val="00006D10"/>
    <w:rsid w:val="00006D39"/>
    <w:rsid w:val="00007066"/>
    <w:rsid w:val="00007402"/>
    <w:rsid w:val="00007413"/>
    <w:rsid w:val="000075FC"/>
    <w:rsid w:val="0000784B"/>
    <w:rsid w:val="00007F49"/>
    <w:rsid w:val="00010170"/>
    <w:rsid w:val="00011037"/>
    <w:rsid w:val="00011F64"/>
    <w:rsid w:val="00014F90"/>
    <w:rsid w:val="0001544F"/>
    <w:rsid w:val="000155AC"/>
    <w:rsid w:val="00021B43"/>
    <w:rsid w:val="00022348"/>
    <w:rsid w:val="000235CA"/>
    <w:rsid w:val="00023B4F"/>
    <w:rsid w:val="0002428F"/>
    <w:rsid w:val="000243F4"/>
    <w:rsid w:val="00024C26"/>
    <w:rsid w:val="0002505D"/>
    <w:rsid w:val="00025124"/>
    <w:rsid w:val="00025F36"/>
    <w:rsid w:val="00026AE8"/>
    <w:rsid w:val="00027D32"/>
    <w:rsid w:val="00030D17"/>
    <w:rsid w:val="0003108D"/>
    <w:rsid w:val="00031115"/>
    <w:rsid w:val="000314C2"/>
    <w:rsid w:val="00031FE0"/>
    <w:rsid w:val="0003264F"/>
    <w:rsid w:val="0003298F"/>
    <w:rsid w:val="00033419"/>
    <w:rsid w:val="00033F2B"/>
    <w:rsid w:val="000343A2"/>
    <w:rsid w:val="00035516"/>
    <w:rsid w:val="00036154"/>
    <w:rsid w:val="000363BC"/>
    <w:rsid w:val="00037573"/>
    <w:rsid w:val="00037575"/>
    <w:rsid w:val="00037841"/>
    <w:rsid w:val="000405C5"/>
    <w:rsid w:val="00040B97"/>
    <w:rsid w:val="0004131D"/>
    <w:rsid w:val="0004198F"/>
    <w:rsid w:val="00041BF7"/>
    <w:rsid w:val="00041DC5"/>
    <w:rsid w:val="00042012"/>
    <w:rsid w:val="0004216B"/>
    <w:rsid w:val="000425AA"/>
    <w:rsid w:val="000426E7"/>
    <w:rsid w:val="00042CD5"/>
    <w:rsid w:val="00043696"/>
    <w:rsid w:val="000444BF"/>
    <w:rsid w:val="00044BA7"/>
    <w:rsid w:val="0004526F"/>
    <w:rsid w:val="00045472"/>
    <w:rsid w:val="00045962"/>
    <w:rsid w:val="000467F2"/>
    <w:rsid w:val="00046E39"/>
    <w:rsid w:val="000471C0"/>
    <w:rsid w:val="00047479"/>
    <w:rsid w:val="0004769F"/>
    <w:rsid w:val="000476DC"/>
    <w:rsid w:val="00047A1F"/>
    <w:rsid w:val="000503F1"/>
    <w:rsid w:val="000507CF"/>
    <w:rsid w:val="00050808"/>
    <w:rsid w:val="00052A08"/>
    <w:rsid w:val="0005356B"/>
    <w:rsid w:val="000541C4"/>
    <w:rsid w:val="000541EC"/>
    <w:rsid w:val="0005451A"/>
    <w:rsid w:val="000552CB"/>
    <w:rsid w:val="0005544C"/>
    <w:rsid w:val="00057A64"/>
    <w:rsid w:val="00057EFB"/>
    <w:rsid w:val="00062A73"/>
    <w:rsid w:val="00062F1B"/>
    <w:rsid w:val="000635D3"/>
    <w:rsid w:val="00063871"/>
    <w:rsid w:val="00064102"/>
    <w:rsid w:val="0006419A"/>
    <w:rsid w:val="00065026"/>
    <w:rsid w:val="0006502E"/>
    <w:rsid w:val="000665DC"/>
    <w:rsid w:val="00066F5C"/>
    <w:rsid w:val="000679B2"/>
    <w:rsid w:val="00067EF6"/>
    <w:rsid w:val="000708BC"/>
    <w:rsid w:val="0007093C"/>
    <w:rsid w:val="00070FF7"/>
    <w:rsid w:val="0007112A"/>
    <w:rsid w:val="000717CD"/>
    <w:rsid w:val="0007183B"/>
    <w:rsid w:val="000718B8"/>
    <w:rsid w:val="00071F99"/>
    <w:rsid w:val="00072EE8"/>
    <w:rsid w:val="0007346F"/>
    <w:rsid w:val="000737C5"/>
    <w:rsid w:val="00075049"/>
    <w:rsid w:val="00075DA5"/>
    <w:rsid w:val="00076057"/>
    <w:rsid w:val="000762D4"/>
    <w:rsid w:val="00076358"/>
    <w:rsid w:val="00076B04"/>
    <w:rsid w:val="00077332"/>
    <w:rsid w:val="00077924"/>
    <w:rsid w:val="00077ED1"/>
    <w:rsid w:val="00080193"/>
    <w:rsid w:val="00081681"/>
    <w:rsid w:val="000824CF"/>
    <w:rsid w:val="00082F25"/>
    <w:rsid w:val="00082F91"/>
    <w:rsid w:val="0008337D"/>
    <w:rsid w:val="00083818"/>
    <w:rsid w:val="0008395F"/>
    <w:rsid w:val="000839B2"/>
    <w:rsid w:val="000839E6"/>
    <w:rsid w:val="00083EA8"/>
    <w:rsid w:val="00084031"/>
    <w:rsid w:val="0008427D"/>
    <w:rsid w:val="000843B1"/>
    <w:rsid w:val="00084B3C"/>
    <w:rsid w:val="000851CB"/>
    <w:rsid w:val="0008573D"/>
    <w:rsid w:val="00085D39"/>
    <w:rsid w:val="00086A4C"/>
    <w:rsid w:val="0008701E"/>
    <w:rsid w:val="000871AA"/>
    <w:rsid w:val="00087F2B"/>
    <w:rsid w:val="00090BDD"/>
    <w:rsid w:val="0009160A"/>
    <w:rsid w:val="00091612"/>
    <w:rsid w:val="000940FB"/>
    <w:rsid w:val="00094CC2"/>
    <w:rsid w:val="0009519B"/>
    <w:rsid w:val="00095371"/>
    <w:rsid w:val="00095707"/>
    <w:rsid w:val="00096098"/>
    <w:rsid w:val="00096495"/>
    <w:rsid w:val="000A0304"/>
    <w:rsid w:val="000A1463"/>
    <w:rsid w:val="000A1A44"/>
    <w:rsid w:val="000A1B1D"/>
    <w:rsid w:val="000A2B36"/>
    <w:rsid w:val="000A2CE3"/>
    <w:rsid w:val="000A35DD"/>
    <w:rsid w:val="000A3DA6"/>
    <w:rsid w:val="000A4F3E"/>
    <w:rsid w:val="000A557B"/>
    <w:rsid w:val="000A5962"/>
    <w:rsid w:val="000A7BD2"/>
    <w:rsid w:val="000B0188"/>
    <w:rsid w:val="000B2771"/>
    <w:rsid w:val="000B28A2"/>
    <w:rsid w:val="000B33BB"/>
    <w:rsid w:val="000B3954"/>
    <w:rsid w:val="000B4257"/>
    <w:rsid w:val="000B48A1"/>
    <w:rsid w:val="000B4CF6"/>
    <w:rsid w:val="000B54EA"/>
    <w:rsid w:val="000B5CF0"/>
    <w:rsid w:val="000B5F30"/>
    <w:rsid w:val="000B5F37"/>
    <w:rsid w:val="000B6060"/>
    <w:rsid w:val="000B68CB"/>
    <w:rsid w:val="000B6E6E"/>
    <w:rsid w:val="000B78AF"/>
    <w:rsid w:val="000C0178"/>
    <w:rsid w:val="000C03D3"/>
    <w:rsid w:val="000C0A4A"/>
    <w:rsid w:val="000C0B3C"/>
    <w:rsid w:val="000C0E96"/>
    <w:rsid w:val="000C1BE6"/>
    <w:rsid w:val="000C23C8"/>
    <w:rsid w:val="000C24A9"/>
    <w:rsid w:val="000C25D9"/>
    <w:rsid w:val="000C2832"/>
    <w:rsid w:val="000C2AF7"/>
    <w:rsid w:val="000C2CB2"/>
    <w:rsid w:val="000C35F0"/>
    <w:rsid w:val="000C3ACA"/>
    <w:rsid w:val="000C5D95"/>
    <w:rsid w:val="000C5DC0"/>
    <w:rsid w:val="000C683D"/>
    <w:rsid w:val="000C68C5"/>
    <w:rsid w:val="000C6D3F"/>
    <w:rsid w:val="000C6EEB"/>
    <w:rsid w:val="000C753B"/>
    <w:rsid w:val="000C76F6"/>
    <w:rsid w:val="000C7AF6"/>
    <w:rsid w:val="000C7CFE"/>
    <w:rsid w:val="000C7E7F"/>
    <w:rsid w:val="000D01FA"/>
    <w:rsid w:val="000D20C3"/>
    <w:rsid w:val="000D28E4"/>
    <w:rsid w:val="000D31ED"/>
    <w:rsid w:val="000D3343"/>
    <w:rsid w:val="000D3BE3"/>
    <w:rsid w:val="000D4395"/>
    <w:rsid w:val="000D4700"/>
    <w:rsid w:val="000D49B6"/>
    <w:rsid w:val="000D4EA0"/>
    <w:rsid w:val="000D5E76"/>
    <w:rsid w:val="000D61A6"/>
    <w:rsid w:val="000D758D"/>
    <w:rsid w:val="000D7F4B"/>
    <w:rsid w:val="000E01E0"/>
    <w:rsid w:val="000E18F7"/>
    <w:rsid w:val="000E2017"/>
    <w:rsid w:val="000E2097"/>
    <w:rsid w:val="000E2694"/>
    <w:rsid w:val="000E28C7"/>
    <w:rsid w:val="000E2C69"/>
    <w:rsid w:val="000E2F7A"/>
    <w:rsid w:val="000E3177"/>
    <w:rsid w:val="000E3B69"/>
    <w:rsid w:val="000E4C5D"/>
    <w:rsid w:val="000E65E3"/>
    <w:rsid w:val="000E78C7"/>
    <w:rsid w:val="000E7B41"/>
    <w:rsid w:val="000F080C"/>
    <w:rsid w:val="000F0AE7"/>
    <w:rsid w:val="000F0DE8"/>
    <w:rsid w:val="000F2103"/>
    <w:rsid w:val="000F33C6"/>
    <w:rsid w:val="000F5558"/>
    <w:rsid w:val="000F56B4"/>
    <w:rsid w:val="000F5E14"/>
    <w:rsid w:val="000F5F7E"/>
    <w:rsid w:val="000F61BC"/>
    <w:rsid w:val="000F6BD7"/>
    <w:rsid w:val="000F6D28"/>
    <w:rsid w:val="000F7261"/>
    <w:rsid w:val="000F73C6"/>
    <w:rsid w:val="000F7425"/>
    <w:rsid w:val="00100267"/>
    <w:rsid w:val="00100E88"/>
    <w:rsid w:val="00101A70"/>
    <w:rsid w:val="00101EBD"/>
    <w:rsid w:val="00102064"/>
    <w:rsid w:val="00102103"/>
    <w:rsid w:val="00102185"/>
    <w:rsid w:val="00102284"/>
    <w:rsid w:val="00102379"/>
    <w:rsid w:val="00102CFD"/>
    <w:rsid w:val="001030EB"/>
    <w:rsid w:val="001031CC"/>
    <w:rsid w:val="001035E3"/>
    <w:rsid w:val="001038B2"/>
    <w:rsid w:val="001042B2"/>
    <w:rsid w:val="00104474"/>
    <w:rsid w:val="00104E17"/>
    <w:rsid w:val="001051FB"/>
    <w:rsid w:val="0010592E"/>
    <w:rsid w:val="00105931"/>
    <w:rsid w:val="001059FA"/>
    <w:rsid w:val="00107CB3"/>
    <w:rsid w:val="00110E39"/>
    <w:rsid w:val="00111A23"/>
    <w:rsid w:val="00111AF1"/>
    <w:rsid w:val="00111DB1"/>
    <w:rsid w:val="001122CA"/>
    <w:rsid w:val="00112B06"/>
    <w:rsid w:val="00112D4E"/>
    <w:rsid w:val="00112DB1"/>
    <w:rsid w:val="00113587"/>
    <w:rsid w:val="0011459A"/>
    <w:rsid w:val="00116269"/>
    <w:rsid w:val="00116BF2"/>
    <w:rsid w:val="001178D5"/>
    <w:rsid w:val="00117C9A"/>
    <w:rsid w:val="00117FB6"/>
    <w:rsid w:val="00117FE2"/>
    <w:rsid w:val="0012239E"/>
    <w:rsid w:val="0012282C"/>
    <w:rsid w:val="00123033"/>
    <w:rsid w:val="00123063"/>
    <w:rsid w:val="00123934"/>
    <w:rsid w:val="0012394C"/>
    <w:rsid w:val="00123A55"/>
    <w:rsid w:val="00123E56"/>
    <w:rsid w:val="00124010"/>
    <w:rsid w:val="0012402B"/>
    <w:rsid w:val="00124944"/>
    <w:rsid w:val="001249FF"/>
    <w:rsid w:val="00125031"/>
    <w:rsid w:val="00125DBF"/>
    <w:rsid w:val="001266B6"/>
    <w:rsid w:val="00127A7C"/>
    <w:rsid w:val="00131166"/>
    <w:rsid w:val="001316C3"/>
    <w:rsid w:val="00131714"/>
    <w:rsid w:val="00131B50"/>
    <w:rsid w:val="001321B6"/>
    <w:rsid w:val="0013291C"/>
    <w:rsid w:val="00132A04"/>
    <w:rsid w:val="00133310"/>
    <w:rsid w:val="00133C72"/>
    <w:rsid w:val="001341C5"/>
    <w:rsid w:val="001349F8"/>
    <w:rsid w:val="00134D86"/>
    <w:rsid w:val="001350C3"/>
    <w:rsid w:val="00135378"/>
    <w:rsid w:val="00135B50"/>
    <w:rsid w:val="00135FCE"/>
    <w:rsid w:val="00136280"/>
    <w:rsid w:val="001365DB"/>
    <w:rsid w:val="001365F6"/>
    <w:rsid w:val="00136A09"/>
    <w:rsid w:val="00136F83"/>
    <w:rsid w:val="00137C1A"/>
    <w:rsid w:val="00137D7F"/>
    <w:rsid w:val="00140586"/>
    <w:rsid w:val="001408FB"/>
    <w:rsid w:val="00141C03"/>
    <w:rsid w:val="0014327D"/>
    <w:rsid w:val="0014340B"/>
    <w:rsid w:val="0014476F"/>
    <w:rsid w:val="0014586D"/>
    <w:rsid w:val="001471E6"/>
    <w:rsid w:val="00150683"/>
    <w:rsid w:val="001511AE"/>
    <w:rsid w:val="001512E9"/>
    <w:rsid w:val="001517D8"/>
    <w:rsid w:val="001519D2"/>
    <w:rsid w:val="001523E8"/>
    <w:rsid w:val="001526DB"/>
    <w:rsid w:val="001529A0"/>
    <w:rsid w:val="00152C53"/>
    <w:rsid w:val="00153311"/>
    <w:rsid w:val="00154705"/>
    <w:rsid w:val="00154931"/>
    <w:rsid w:val="00155844"/>
    <w:rsid w:val="00156870"/>
    <w:rsid w:val="00157219"/>
    <w:rsid w:val="00157F5E"/>
    <w:rsid w:val="00161868"/>
    <w:rsid w:val="00161959"/>
    <w:rsid w:val="00161A02"/>
    <w:rsid w:val="0016246E"/>
    <w:rsid w:val="0016359C"/>
    <w:rsid w:val="00163CE2"/>
    <w:rsid w:val="00164274"/>
    <w:rsid w:val="00164967"/>
    <w:rsid w:val="00165981"/>
    <w:rsid w:val="001661BE"/>
    <w:rsid w:val="001663CB"/>
    <w:rsid w:val="001668AB"/>
    <w:rsid w:val="00166B6E"/>
    <w:rsid w:val="00166CBD"/>
    <w:rsid w:val="00166DC0"/>
    <w:rsid w:val="00167170"/>
    <w:rsid w:val="00170CD2"/>
    <w:rsid w:val="00171303"/>
    <w:rsid w:val="0017149D"/>
    <w:rsid w:val="001715AE"/>
    <w:rsid w:val="00171977"/>
    <w:rsid w:val="0017217E"/>
    <w:rsid w:val="00172C83"/>
    <w:rsid w:val="00173008"/>
    <w:rsid w:val="00174FE1"/>
    <w:rsid w:val="001754E7"/>
    <w:rsid w:val="00176707"/>
    <w:rsid w:val="00176D20"/>
    <w:rsid w:val="001770E5"/>
    <w:rsid w:val="0018019C"/>
    <w:rsid w:val="00180E98"/>
    <w:rsid w:val="00181074"/>
    <w:rsid w:val="00181263"/>
    <w:rsid w:val="001815CC"/>
    <w:rsid w:val="00181A18"/>
    <w:rsid w:val="00181C60"/>
    <w:rsid w:val="00182588"/>
    <w:rsid w:val="00182894"/>
    <w:rsid w:val="0018414D"/>
    <w:rsid w:val="00184D99"/>
    <w:rsid w:val="001865BF"/>
    <w:rsid w:val="00187341"/>
    <w:rsid w:val="0018756E"/>
    <w:rsid w:val="00190006"/>
    <w:rsid w:val="00191477"/>
    <w:rsid w:val="001917F1"/>
    <w:rsid w:val="00191EA1"/>
    <w:rsid w:val="00192922"/>
    <w:rsid w:val="00192F4F"/>
    <w:rsid w:val="00193795"/>
    <w:rsid w:val="00193A8D"/>
    <w:rsid w:val="00194ABB"/>
    <w:rsid w:val="00194F41"/>
    <w:rsid w:val="0019500F"/>
    <w:rsid w:val="00195299"/>
    <w:rsid w:val="00195481"/>
    <w:rsid w:val="001958B2"/>
    <w:rsid w:val="0019616E"/>
    <w:rsid w:val="0019745C"/>
    <w:rsid w:val="00197C56"/>
    <w:rsid w:val="00197D76"/>
    <w:rsid w:val="001A0217"/>
    <w:rsid w:val="001A10C1"/>
    <w:rsid w:val="001A1346"/>
    <w:rsid w:val="001A29C8"/>
    <w:rsid w:val="001A4277"/>
    <w:rsid w:val="001A4C6D"/>
    <w:rsid w:val="001A611B"/>
    <w:rsid w:val="001A62B0"/>
    <w:rsid w:val="001A62B5"/>
    <w:rsid w:val="001A6827"/>
    <w:rsid w:val="001A79CE"/>
    <w:rsid w:val="001A7CAF"/>
    <w:rsid w:val="001A7F1A"/>
    <w:rsid w:val="001B0F38"/>
    <w:rsid w:val="001B2315"/>
    <w:rsid w:val="001B3FF4"/>
    <w:rsid w:val="001B41C2"/>
    <w:rsid w:val="001B4CCD"/>
    <w:rsid w:val="001B4D79"/>
    <w:rsid w:val="001B5805"/>
    <w:rsid w:val="001B59AD"/>
    <w:rsid w:val="001B64E1"/>
    <w:rsid w:val="001B726B"/>
    <w:rsid w:val="001B7353"/>
    <w:rsid w:val="001B743D"/>
    <w:rsid w:val="001B745D"/>
    <w:rsid w:val="001B74E8"/>
    <w:rsid w:val="001C0092"/>
    <w:rsid w:val="001C0BF3"/>
    <w:rsid w:val="001C1BF9"/>
    <w:rsid w:val="001C211F"/>
    <w:rsid w:val="001C3445"/>
    <w:rsid w:val="001C3665"/>
    <w:rsid w:val="001C3DB9"/>
    <w:rsid w:val="001C3E12"/>
    <w:rsid w:val="001C4305"/>
    <w:rsid w:val="001C5221"/>
    <w:rsid w:val="001C6222"/>
    <w:rsid w:val="001C635F"/>
    <w:rsid w:val="001C6D75"/>
    <w:rsid w:val="001C77B0"/>
    <w:rsid w:val="001D0137"/>
    <w:rsid w:val="001D0293"/>
    <w:rsid w:val="001D0EB7"/>
    <w:rsid w:val="001D3DA7"/>
    <w:rsid w:val="001D475E"/>
    <w:rsid w:val="001D4AA6"/>
    <w:rsid w:val="001D5186"/>
    <w:rsid w:val="001D5578"/>
    <w:rsid w:val="001D5A95"/>
    <w:rsid w:val="001D6301"/>
    <w:rsid w:val="001D64EE"/>
    <w:rsid w:val="001D6BC4"/>
    <w:rsid w:val="001D6FBA"/>
    <w:rsid w:val="001D7102"/>
    <w:rsid w:val="001D75A9"/>
    <w:rsid w:val="001D7A31"/>
    <w:rsid w:val="001D7A7B"/>
    <w:rsid w:val="001D7ED4"/>
    <w:rsid w:val="001E1BA2"/>
    <w:rsid w:val="001E2841"/>
    <w:rsid w:val="001E3DFD"/>
    <w:rsid w:val="001E3F4D"/>
    <w:rsid w:val="001E42F3"/>
    <w:rsid w:val="001E4E8C"/>
    <w:rsid w:val="001E6D2C"/>
    <w:rsid w:val="001F01CD"/>
    <w:rsid w:val="001F0788"/>
    <w:rsid w:val="001F1697"/>
    <w:rsid w:val="001F23F1"/>
    <w:rsid w:val="001F2C5D"/>
    <w:rsid w:val="001F2DCA"/>
    <w:rsid w:val="001F486C"/>
    <w:rsid w:val="001F58C7"/>
    <w:rsid w:val="001F5D7B"/>
    <w:rsid w:val="001F609C"/>
    <w:rsid w:val="001F61BA"/>
    <w:rsid w:val="001F6677"/>
    <w:rsid w:val="002000AC"/>
    <w:rsid w:val="0020087D"/>
    <w:rsid w:val="00202C51"/>
    <w:rsid w:val="00202E62"/>
    <w:rsid w:val="002030C0"/>
    <w:rsid w:val="00203F9E"/>
    <w:rsid w:val="0020556C"/>
    <w:rsid w:val="002056F7"/>
    <w:rsid w:val="00205AAA"/>
    <w:rsid w:val="00205ADF"/>
    <w:rsid w:val="00205D0A"/>
    <w:rsid w:val="00205F92"/>
    <w:rsid w:val="002060B8"/>
    <w:rsid w:val="00206DEE"/>
    <w:rsid w:val="002072B2"/>
    <w:rsid w:val="002078FC"/>
    <w:rsid w:val="002103C3"/>
    <w:rsid w:val="0021085C"/>
    <w:rsid w:val="00210DA8"/>
    <w:rsid w:val="00210DE0"/>
    <w:rsid w:val="00210FBA"/>
    <w:rsid w:val="002116AD"/>
    <w:rsid w:val="002117CF"/>
    <w:rsid w:val="0021197E"/>
    <w:rsid w:val="00212529"/>
    <w:rsid w:val="00213727"/>
    <w:rsid w:val="002137BA"/>
    <w:rsid w:val="00213E4F"/>
    <w:rsid w:val="0021449B"/>
    <w:rsid w:val="00214722"/>
    <w:rsid w:val="00214B49"/>
    <w:rsid w:val="00215468"/>
    <w:rsid w:val="00215A97"/>
    <w:rsid w:val="00215E50"/>
    <w:rsid w:val="00215FD0"/>
    <w:rsid w:val="0021605D"/>
    <w:rsid w:val="00216792"/>
    <w:rsid w:val="00216D25"/>
    <w:rsid w:val="00220D5E"/>
    <w:rsid w:val="00221079"/>
    <w:rsid w:val="00221CB8"/>
    <w:rsid w:val="002222D4"/>
    <w:rsid w:val="00222966"/>
    <w:rsid w:val="00224936"/>
    <w:rsid w:val="00225077"/>
    <w:rsid w:val="00225A82"/>
    <w:rsid w:val="00225C62"/>
    <w:rsid w:val="00226116"/>
    <w:rsid w:val="002268E7"/>
    <w:rsid w:val="00226C04"/>
    <w:rsid w:val="00226FE1"/>
    <w:rsid w:val="002301D5"/>
    <w:rsid w:val="00230239"/>
    <w:rsid w:val="00230982"/>
    <w:rsid w:val="00230AF5"/>
    <w:rsid w:val="00230DD7"/>
    <w:rsid w:val="00232396"/>
    <w:rsid w:val="002323B9"/>
    <w:rsid w:val="0023288C"/>
    <w:rsid w:val="002330DF"/>
    <w:rsid w:val="0023528D"/>
    <w:rsid w:val="00235686"/>
    <w:rsid w:val="00236926"/>
    <w:rsid w:val="002402C9"/>
    <w:rsid w:val="002406C7"/>
    <w:rsid w:val="00240909"/>
    <w:rsid w:val="00243F15"/>
    <w:rsid w:val="00244329"/>
    <w:rsid w:val="0024472F"/>
    <w:rsid w:val="0024497E"/>
    <w:rsid w:val="00246065"/>
    <w:rsid w:val="00246642"/>
    <w:rsid w:val="0024697E"/>
    <w:rsid w:val="00246F0D"/>
    <w:rsid w:val="0024708F"/>
    <w:rsid w:val="00250448"/>
    <w:rsid w:val="00250A8D"/>
    <w:rsid w:val="00250ACB"/>
    <w:rsid w:val="00251CA6"/>
    <w:rsid w:val="00251E12"/>
    <w:rsid w:val="002521EC"/>
    <w:rsid w:val="0025287B"/>
    <w:rsid w:val="002533A7"/>
    <w:rsid w:val="002542DD"/>
    <w:rsid w:val="00254523"/>
    <w:rsid w:val="00254851"/>
    <w:rsid w:val="00254B00"/>
    <w:rsid w:val="002556BD"/>
    <w:rsid w:val="00255A74"/>
    <w:rsid w:val="00255D3D"/>
    <w:rsid w:val="002568ED"/>
    <w:rsid w:val="00256E45"/>
    <w:rsid w:val="00257003"/>
    <w:rsid w:val="002573E5"/>
    <w:rsid w:val="00257F7D"/>
    <w:rsid w:val="00260342"/>
    <w:rsid w:val="0026035C"/>
    <w:rsid w:val="002604A1"/>
    <w:rsid w:val="00260B7C"/>
    <w:rsid w:val="00261723"/>
    <w:rsid w:val="002617CA"/>
    <w:rsid w:val="002617E8"/>
    <w:rsid w:val="00261BED"/>
    <w:rsid w:val="00261E46"/>
    <w:rsid w:val="00261F5F"/>
    <w:rsid w:val="0026334D"/>
    <w:rsid w:val="00263436"/>
    <w:rsid w:val="00263991"/>
    <w:rsid w:val="00264171"/>
    <w:rsid w:val="0026431D"/>
    <w:rsid w:val="00264598"/>
    <w:rsid w:val="00264BF7"/>
    <w:rsid w:val="00264DC5"/>
    <w:rsid w:val="002655FE"/>
    <w:rsid w:val="0026603C"/>
    <w:rsid w:val="002661EA"/>
    <w:rsid w:val="002665A8"/>
    <w:rsid w:val="00266C71"/>
    <w:rsid w:val="00266FC8"/>
    <w:rsid w:val="002674BB"/>
    <w:rsid w:val="002700BA"/>
    <w:rsid w:val="00270758"/>
    <w:rsid w:val="00270E8B"/>
    <w:rsid w:val="00271B23"/>
    <w:rsid w:val="00271B5E"/>
    <w:rsid w:val="0027204B"/>
    <w:rsid w:val="002722DA"/>
    <w:rsid w:val="00272675"/>
    <w:rsid w:val="00272E97"/>
    <w:rsid w:val="0027327E"/>
    <w:rsid w:val="002734A4"/>
    <w:rsid w:val="00273608"/>
    <w:rsid w:val="00273A74"/>
    <w:rsid w:val="002744C2"/>
    <w:rsid w:val="00274B00"/>
    <w:rsid w:val="00274B22"/>
    <w:rsid w:val="00274C09"/>
    <w:rsid w:val="00274CE3"/>
    <w:rsid w:val="00274FD1"/>
    <w:rsid w:val="002754C1"/>
    <w:rsid w:val="00275E9E"/>
    <w:rsid w:val="00275EB9"/>
    <w:rsid w:val="00275F5F"/>
    <w:rsid w:val="00276E1E"/>
    <w:rsid w:val="002770C4"/>
    <w:rsid w:val="00277EAA"/>
    <w:rsid w:val="0028087D"/>
    <w:rsid w:val="00280C4D"/>
    <w:rsid w:val="002821C8"/>
    <w:rsid w:val="002822D3"/>
    <w:rsid w:val="002825D9"/>
    <w:rsid w:val="0028289B"/>
    <w:rsid w:val="00282971"/>
    <w:rsid w:val="00284F62"/>
    <w:rsid w:val="00285170"/>
    <w:rsid w:val="0028627A"/>
    <w:rsid w:val="00286634"/>
    <w:rsid w:val="002867C0"/>
    <w:rsid w:val="00287928"/>
    <w:rsid w:val="002904EE"/>
    <w:rsid w:val="002906F6"/>
    <w:rsid w:val="00290F38"/>
    <w:rsid w:val="00291A83"/>
    <w:rsid w:val="00291BC0"/>
    <w:rsid w:val="002921F2"/>
    <w:rsid w:val="00292976"/>
    <w:rsid w:val="00292DDC"/>
    <w:rsid w:val="002940AA"/>
    <w:rsid w:val="002940B7"/>
    <w:rsid w:val="00294DC2"/>
    <w:rsid w:val="00294E5A"/>
    <w:rsid w:val="00295A3D"/>
    <w:rsid w:val="00295C72"/>
    <w:rsid w:val="00295F01"/>
    <w:rsid w:val="00295F04"/>
    <w:rsid w:val="002970D4"/>
    <w:rsid w:val="0029751A"/>
    <w:rsid w:val="00297545"/>
    <w:rsid w:val="002A07C4"/>
    <w:rsid w:val="002A0D85"/>
    <w:rsid w:val="002A12AC"/>
    <w:rsid w:val="002A18E8"/>
    <w:rsid w:val="002A1EED"/>
    <w:rsid w:val="002A2732"/>
    <w:rsid w:val="002A2D78"/>
    <w:rsid w:val="002A2EA8"/>
    <w:rsid w:val="002A30C1"/>
    <w:rsid w:val="002A317F"/>
    <w:rsid w:val="002A3F67"/>
    <w:rsid w:val="002A449E"/>
    <w:rsid w:val="002A4BA6"/>
    <w:rsid w:val="002A5097"/>
    <w:rsid w:val="002A5F61"/>
    <w:rsid w:val="002A6126"/>
    <w:rsid w:val="002A6BD1"/>
    <w:rsid w:val="002A7521"/>
    <w:rsid w:val="002B1166"/>
    <w:rsid w:val="002B1864"/>
    <w:rsid w:val="002B21B3"/>
    <w:rsid w:val="002B32F4"/>
    <w:rsid w:val="002B4855"/>
    <w:rsid w:val="002B4A54"/>
    <w:rsid w:val="002B5FBA"/>
    <w:rsid w:val="002B749D"/>
    <w:rsid w:val="002B7697"/>
    <w:rsid w:val="002C1417"/>
    <w:rsid w:val="002C1AD7"/>
    <w:rsid w:val="002C24B2"/>
    <w:rsid w:val="002C4572"/>
    <w:rsid w:val="002C6EE8"/>
    <w:rsid w:val="002C79A8"/>
    <w:rsid w:val="002C7A80"/>
    <w:rsid w:val="002C7B51"/>
    <w:rsid w:val="002D1385"/>
    <w:rsid w:val="002D166C"/>
    <w:rsid w:val="002D18E7"/>
    <w:rsid w:val="002D1983"/>
    <w:rsid w:val="002D2112"/>
    <w:rsid w:val="002D2603"/>
    <w:rsid w:val="002D2882"/>
    <w:rsid w:val="002D2A78"/>
    <w:rsid w:val="002D360C"/>
    <w:rsid w:val="002D3B4E"/>
    <w:rsid w:val="002D3C11"/>
    <w:rsid w:val="002D4B51"/>
    <w:rsid w:val="002D50C7"/>
    <w:rsid w:val="002D5AFB"/>
    <w:rsid w:val="002D5ECA"/>
    <w:rsid w:val="002D6999"/>
    <w:rsid w:val="002D6A52"/>
    <w:rsid w:val="002D6C8C"/>
    <w:rsid w:val="002D6DF0"/>
    <w:rsid w:val="002D72B5"/>
    <w:rsid w:val="002D7B59"/>
    <w:rsid w:val="002D7EAD"/>
    <w:rsid w:val="002E0444"/>
    <w:rsid w:val="002E11AD"/>
    <w:rsid w:val="002E2493"/>
    <w:rsid w:val="002E2D2D"/>
    <w:rsid w:val="002E2F7A"/>
    <w:rsid w:val="002E33E4"/>
    <w:rsid w:val="002E3903"/>
    <w:rsid w:val="002E47FC"/>
    <w:rsid w:val="002E4A2E"/>
    <w:rsid w:val="002E5080"/>
    <w:rsid w:val="002E5123"/>
    <w:rsid w:val="002E525A"/>
    <w:rsid w:val="002E52BB"/>
    <w:rsid w:val="002E5718"/>
    <w:rsid w:val="002E5742"/>
    <w:rsid w:val="002E6B7E"/>
    <w:rsid w:val="002E7582"/>
    <w:rsid w:val="002F00AA"/>
    <w:rsid w:val="002F0454"/>
    <w:rsid w:val="002F065D"/>
    <w:rsid w:val="002F0C7D"/>
    <w:rsid w:val="002F1039"/>
    <w:rsid w:val="002F10BE"/>
    <w:rsid w:val="002F18DC"/>
    <w:rsid w:val="002F218B"/>
    <w:rsid w:val="002F21BB"/>
    <w:rsid w:val="002F21DF"/>
    <w:rsid w:val="002F3A78"/>
    <w:rsid w:val="002F3B79"/>
    <w:rsid w:val="002F43FC"/>
    <w:rsid w:val="002F4C00"/>
    <w:rsid w:val="002F587C"/>
    <w:rsid w:val="002F65BF"/>
    <w:rsid w:val="002F65C2"/>
    <w:rsid w:val="002F6D38"/>
    <w:rsid w:val="002F7256"/>
    <w:rsid w:val="002F742A"/>
    <w:rsid w:val="002F78F5"/>
    <w:rsid w:val="00300653"/>
    <w:rsid w:val="003017EE"/>
    <w:rsid w:val="003021AD"/>
    <w:rsid w:val="00302EDC"/>
    <w:rsid w:val="003032B0"/>
    <w:rsid w:val="003049FD"/>
    <w:rsid w:val="00304C63"/>
    <w:rsid w:val="00305A32"/>
    <w:rsid w:val="00306C11"/>
    <w:rsid w:val="00306EB3"/>
    <w:rsid w:val="0030749A"/>
    <w:rsid w:val="0030756B"/>
    <w:rsid w:val="003105F9"/>
    <w:rsid w:val="003109F7"/>
    <w:rsid w:val="0031188E"/>
    <w:rsid w:val="00311F7E"/>
    <w:rsid w:val="003122DE"/>
    <w:rsid w:val="00312929"/>
    <w:rsid w:val="003138E9"/>
    <w:rsid w:val="00314702"/>
    <w:rsid w:val="003152CD"/>
    <w:rsid w:val="003158F5"/>
    <w:rsid w:val="00315A68"/>
    <w:rsid w:val="0031685A"/>
    <w:rsid w:val="00316FF8"/>
    <w:rsid w:val="003172DF"/>
    <w:rsid w:val="00317B3E"/>
    <w:rsid w:val="00317CBE"/>
    <w:rsid w:val="00320A53"/>
    <w:rsid w:val="003210C1"/>
    <w:rsid w:val="003215E2"/>
    <w:rsid w:val="00321E49"/>
    <w:rsid w:val="003228DD"/>
    <w:rsid w:val="00322C66"/>
    <w:rsid w:val="0032369B"/>
    <w:rsid w:val="00323DB3"/>
    <w:rsid w:val="00323E06"/>
    <w:rsid w:val="003243EA"/>
    <w:rsid w:val="003247E0"/>
    <w:rsid w:val="00325EE0"/>
    <w:rsid w:val="003264B0"/>
    <w:rsid w:val="00327102"/>
    <w:rsid w:val="00327940"/>
    <w:rsid w:val="00330AEC"/>
    <w:rsid w:val="003316BF"/>
    <w:rsid w:val="00332547"/>
    <w:rsid w:val="00333DFC"/>
    <w:rsid w:val="0033409A"/>
    <w:rsid w:val="003342E0"/>
    <w:rsid w:val="00334605"/>
    <w:rsid w:val="00334722"/>
    <w:rsid w:val="00334AF5"/>
    <w:rsid w:val="00334BE0"/>
    <w:rsid w:val="003352F2"/>
    <w:rsid w:val="003360EC"/>
    <w:rsid w:val="003363F4"/>
    <w:rsid w:val="00336603"/>
    <w:rsid w:val="003373DE"/>
    <w:rsid w:val="003379D0"/>
    <w:rsid w:val="003379EA"/>
    <w:rsid w:val="00340275"/>
    <w:rsid w:val="003402B8"/>
    <w:rsid w:val="003406B4"/>
    <w:rsid w:val="003406B9"/>
    <w:rsid w:val="003409E1"/>
    <w:rsid w:val="00340A11"/>
    <w:rsid w:val="00340BE6"/>
    <w:rsid w:val="00340EC1"/>
    <w:rsid w:val="00340F38"/>
    <w:rsid w:val="00341069"/>
    <w:rsid w:val="00341F1D"/>
    <w:rsid w:val="00342438"/>
    <w:rsid w:val="003430E3"/>
    <w:rsid w:val="00343312"/>
    <w:rsid w:val="00343686"/>
    <w:rsid w:val="0034404A"/>
    <w:rsid w:val="00344406"/>
    <w:rsid w:val="0034451B"/>
    <w:rsid w:val="003446BA"/>
    <w:rsid w:val="003447CD"/>
    <w:rsid w:val="003448E7"/>
    <w:rsid w:val="00344F54"/>
    <w:rsid w:val="00345F0A"/>
    <w:rsid w:val="0034637D"/>
    <w:rsid w:val="003463DA"/>
    <w:rsid w:val="00346FA1"/>
    <w:rsid w:val="003475FA"/>
    <w:rsid w:val="00350415"/>
    <w:rsid w:val="0035093A"/>
    <w:rsid w:val="00350AEC"/>
    <w:rsid w:val="003510C4"/>
    <w:rsid w:val="003510CE"/>
    <w:rsid w:val="00351D51"/>
    <w:rsid w:val="00353505"/>
    <w:rsid w:val="00353F2A"/>
    <w:rsid w:val="003558F7"/>
    <w:rsid w:val="00356C84"/>
    <w:rsid w:val="00356C85"/>
    <w:rsid w:val="00356FFD"/>
    <w:rsid w:val="0035710B"/>
    <w:rsid w:val="003600B1"/>
    <w:rsid w:val="00360674"/>
    <w:rsid w:val="003615FB"/>
    <w:rsid w:val="003616E2"/>
    <w:rsid w:val="003617DE"/>
    <w:rsid w:val="00362419"/>
    <w:rsid w:val="003629F7"/>
    <w:rsid w:val="00363685"/>
    <w:rsid w:val="00363B41"/>
    <w:rsid w:val="00364030"/>
    <w:rsid w:val="0036488D"/>
    <w:rsid w:val="00365AA3"/>
    <w:rsid w:val="00365D0A"/>
    <w:rsid w:val="00365EFF"/>
    <w:rsid w:val="003660EB"/>
    <w:rsid w:val="003669F9"/>
    <w:rsid w:val="00366EDD"/>
    <w:rsid w:val="00366EEA"/>
    <w:rsid w:val="003670C7"/>
    <w:rsid w:val="0036799C"/>
    <w:rsid w:val="00367A0C"/>
    <w:rsid w:val="003705AB"/>
    <w:rsid w:val="00370759"/>
    <w:rsid w:val="00370FD4"/>
    <w:rsid w:val="00372719"/>
    <w:rsid w:val="00372D41"/>
    <w:rsid w:val="00373868"/>
    <w:rsid w:val="0037392F"/>
    <w:rsid w:val="00375648"/>
    <w:rsid w:val="00375770"/>
    <w:rsid w:val="00376040"/>
    <w:rsid w:val="00376C25"/>
    <w:rsid w:val="00377640"/>
    <w:rsid w:val="00380667"/>
    <w:rsid w:val="00380DED"/>
    <w:rsid w:val="00381013"/>
    <w:rsid w:val="00381448"/>
    <w:rsid w:val="00381463"/>
    <w:rsid w:val="00381A59"/>
    <w:rsid w:val="00381C1B"/>
    <w:rsid w:val="00382A55"/>
    <w:rsid w:val="00383153"/>
    <w:rsid w:val="003831D0"/>
    <w:rsid w:val="00384667"/>
    <w:rsid w:val="00384ABB"/>
    <w:rsid w:val="00384B0B"/>
    <w:rsid w:val="00385126"/>
    <w:rsid w:val="00385F96"/>
    <w:rsid w:val="003864F8"/>
    <w:rsid w:val="003865FA"/>
    <w:rsid w:val="0038722F"/>
    <w:rsid w:val="00391190"/>
    <w:rsid w:val="00391245"/>
    <w:rsid w:val="003916E5"/>
    <w:rsid w:val="00391CED"/>
    <w:rsid w:val="00391F2A"/>
    <w:rsid w:val="00392BF4"/>
    <w:rsid w:val="00392EA3"/>
    <w:rsid w:val="00395195"/>
    <w:rsid w:val="00395ACC"/>
    <w:rsid w:val="00395E53"/>
    <w:rsid w:val="00397D8D"/>
    <w:rsid w:val="00397EAE"/>
    <w:rsid w:val="003A06E6"/>
    <w:rsid w:val="003A1257"/>
    <w:rsid w:val="003A1C4A"/>
    <w:rsid w:val="003A2D6A"/>
    <w:rsid w:val="003A4863"/>
    <w:rsid w:val="003A48B3"/>
    <w:rsid w:val="003A4A1E"/>
    <w:rsid w:val="003A5196"/>
    <w:rsid w:val="003A55B1"/>
    <w:rsid w:val="003A58FA"/>
    <w:rsid w:val="003A63B5"/>
    <w:rsid w:val="003A6531"/>
    <w:rsid w:val="003A6C3F"/>
    <w:rsid w:val="003A71AE"/>
    <w:rsid w:val="003A71C5"/>
    <w:rsid w:val="003A7413"/>
    <w:rsid w:val="003A7432"/>
    <w:rsid w:val="003A761C"/>
    <w:rsid w:val="003B2B8D"/>
    <w:rsid w:val="003B331D"/>
    <w:rsid w:val="003B3908"/>
    <w:rsid w:val="003B4168"/>
    <w:rsid w:val="003B51ED"/>
    <w:rsid w:val="003B5DA1"/>
    <w:rsid w:val="003B5E1A"/>
    <w:rsid w:val="003B636D"/>
    <w:rsid w:val="003B67E0"/>
    <w:rsid w:val="003B6B0E"/>
    <w:rsid w:val="003B6D15"/>
    <w:rsid w:val="003B6E67"/>
    <w:rsid w:val="003B713A"/>
    <w:rsid w:val="003B78D6"/>
    <w:rsid w:val="003B795B"/>
    <w:rsid w:val="003B7D31"/>
    <w:rsid w:val="003C00C6"/>
    <w:rsid w:val="003C0B2F"/>
    <w:rsid w:val="003C1F9F"/>
    <w:rsid w:val="003C283B"/>
    <w:rsid w:val="003C2A79"/>
    <w:rsid w:val="003C4213"/>
    <w:rsid w:val="003C45F2"/>
    <w:rsid w:val="003C6140"/>
    <w:rsid w:val="003C6236"/>
    <w:rsid w:val="003C6562"/>
    <w:rsid w:val="003C67F4"/>
    <w:rsid w:val="003C6BB6"/>
    <w:rsid w:val="003C6E2F"/>
    <w:rsid w:val="003C74F3"/>
    <w:rsid w:val="003C792E"/>
    <w:rsid w:val="003D10B4"/>
    <w:rsid w:val="003D2153"/>
    <w:rsid w:val="003D2D6D"/>
    <w:rsid w:val="003D45FB"/>
    <w:rsid w:val="003D4B09"/>
    <w:rsid w:val="003D5278"/>
    <w:rsid w:val="003D5353"/>
    <w:rsid w:val="003D5A13"/>
    <w:rsid w:val="003D678C"/>
    <w:rsid w:val="003D6A81"/>
    <w:rsid w:val="003D6DBE"/>
    <w:rsid w:val="003D72B6"/>
    <w:rsid w:val="003E19C3"/>
    <w:rsid w:val="003E1BB4"/>
    <w:rsid w:val="003E1F84"/>
    <w:rsid w:val="003E1FE4"/>
    <w:rsid w:val="003E2E03"/>
    <w:rsid w:val="003E2FF3"/>
    <w:rsid w:val="003E320E"/>
    <w:rsid w:val="003E382C"/>
    <w:rsid w:val="003E458F"/>
    <w:rsid w:val="003E5318"/>
    <w:rsid w:val="003E637D"/>
    <w:rsid w:val="003E7010"/>
    <w:rsid w:val="003F0FC3"/>
    <w:rsid w:val="003F1181"/>
    <w:rsid w:val="003F20FF"/>
    <w:rsid w:val="003F28F3"/>
    <w:rsid w:val="003F2E37"/>
    <w:rsid w:val="003F30C3"/>
    <w:rsid w:val="003F3124"/>
    <w:rsid w:val="003F3786"/>
    <w:rsid w:val="003F43F8"/>
    <w:rsid w:val="003F4CBC"/>
    <w:rsid w:val="003F560E"/>
    <w:rsid w:val="003F5A7E"/>
    <w:rsid w:val="003F65F1"/>
    <w:rsid w:val="003F65F8"/>
    <w:rsid w:val="003F6617"/>
    <w:rsid w:val="003F711F"/>
    <w:rsid w:val="003F7280"/>
    <w:rsid w:val="003F741A"/>
    <w:rsid w:val="003F7B71"/>
    <w:rsid w:val="004002AF"/>
    <w:rsid w:val="004009A3"/>
    <w:rsid w:val="0040125C"/>
    <w:rsid w:val="00402A07"/>
    <w:rsid w:val="00403B0D"/>
    <w:rsid w:val="00403B64"/>
    <w:rsid w:val="0040426C"/>
    <w:rsid w:val="0040436C"/>
    <w:rsid w:val="00404CA4"/>
    <w:rsid w:val="00405419"/>
    <w:rsid w:val="004066AF"/>
    <w:rsid w:val="004066C7"/>
    <w:rsid w:val="00406A4D"/>
    <w:rsid w:val="00406C98"/>
    <w:rsid w:val="00407053"/>
    <w:rsid w:val="00407C3F"/>
    <w:rsid w:val="00407D6E"/>
    <w:rsid w:val="00407DEA"/>
    <w:rsid w:val="00410321"/>
    <w:rsid w:val="00410404"/>
    <w:rsid w:val="004107FB"/>
    <w:rsid w:val="00410AFA"/>
    <w:rsid w:val="004113A5"/>
    <w:rsid w:val="00412A25"/>
    <w:rsid w:val="00412E4F"/>
    <w:rsid w:val="0041412F"/>
    <w:rsid w:val="004142FF"/>
    <w:rsid w:val="00414778"/>
    <w:rsid w:val="004159AF"/>
    <w:rsid w:val="00415D35"/>
    <w:rsid w:val="004160A0"/>
    <w:rsid w:val="00416B4D"/>
    <w:rsid w:val="00417D17"/>
    <w:rsid w:val="00417DB0"/>
    <w:rsid w:val="00420036"/>
    <w:rsid w:val="0042007A"/>
    <w:rsid w:val="004201A8"/>
    <w:rsid w:val="00420D28"/>
    <w:rsid w:val="004218FA"/>
    <w:rsid w:val="00421991"/>
    <w:rsid w:val="00421BBB"/>
    <w:rsid w:val="00422086"/>
    <w:rsid w:val="0042246F"/>
    <w:rsid w:val="00422D65"/>
    <w:rsid w:val="00424072"/>
    <w:rsid w:val="00424132"/>
    <w:rsid w:val="0042497B"/>
    <w:rsid w:val="00424B45"/>
    <w:rsid w:val="00424CB9"/>
    <w:rsid w:val="0042529E"/>
    <w:rsid w:val="004252F4"/>
    <w:rsid w:val="0042561D"/>
    <w:rsid w:val="00425E02"/>
    <w:rsid w:val="004264AE"/>
    <w:rsid w:val="0042762B"/>
    <w:rsid w:val="00427E2D"/>
    <w:rsid w:val="00427FDB"/>
    <w:rsid w:val="004309DA"/>
    <w:rsid w:val="00430AE8"/>
    <w:rsid w:val="004310F8"/>
    <w:rsid w:val="00433AE7"/>
    <w:rsid w:val="00434505"/>
    <w:rsid w:val="00435A11"/>
    <w:rsid w:val="00435C1B"/>
    <w:rsid w:val="00436186"/>
    <w:rsid w:val="004367E2"/>
    <w:rsid w:val="0043752E"/>
    <w:rsid w:val="0043767A"/>
    <w:rsid w:val="00437806"/>
    <w:rsid w:val="004404F7"/>
    <w:rsid w:val="004407DC"/>
    <w:rsid w:val="00440A6A"/>
    <w:rsid w:val="00440F7C"/>
    <w:rsid w:val="0044115C"/>
    <w:rsid w:val="00441501"/>
    <w:rsid w:val="0044170B"/>
    <w:rsid w:val="00441C1C"/>
    <w:rsid w:val="0044266E"/>
    <w:rsid w:val="00442779"/>
    <w:rsid w:val="004431DD"/>
    <w:rsid w:val="00443A60"/>
    <w:rsid w:val="00443BBC"/>
    <w:rsid w:val="004447EB"/>
    <w:rsid w:val="004451EE"/>
    <w:rsid w:val="00445DAA"/>
    <w:rsid w:val="00445DB5"/>
    <w:rsid w:val="004460A6"/>
    <w:rsid w:val="004466D1"/>
    <w:rsid w:val="00446D93"/>
    <w:rsid w:val="00447133"/>
    <w:rsid w:val="00447C72"/>
    <w:rsid w:val="00447CD3"/>
    <w:rsid w:val="00450209"/>
    <w:rsid w:val="00450258"/>
    <w:rsid w:val="004508CC"/>
    <w:rsid w:val="004517DC"/>
    <w:rsid w:val="004520DD"/>
    <w:rsid w:val="004528BC"/>
    <w:rsid w:val="0045298D"/>
    <w:rsid w:val="00452B04"/>
    <w:rsid w:val="00452C22"/>
    <w:rsid w:val="0045351B"/>
    <w:rsid w:val="00453B63"/>
    <w:rsid w:val="00454CF7"/>
    <w:rsid w:val="00454FF1"/>
    <w:rsid w:val="004553E4"/>
    <w:rsid w:val="00456F66"/>
    <w:rsid w:val="00457473"/>
    <w:rsid w:val="00457B28"/>
    <w:rsid w:val="00460328"/>
    <w:rsid w:val="00461DA5"/>
    <w:rsid w:val="00462036"/>
    <w:rsid w:val="00462387"/>
    <w:rsid w:val="004633F7"/>
    <w:rsid w:val="00463467"/>
    <w:rsid w:val="0046402A"/>
    <w:rsid w:val="004646A1"/>
    <w:rsid w:val="0046539E"/>
    <w:rsid w:val="0046598C"/>
    <w:rsid w:val="0046599A"/>
    <w:rsid w:val="00465C6E"/>
    <w:rsid w:val="00466259"/>
    <w:rsid w:val="004712B9"/>
    <w:rsid w:val="00471B63"/>
    <w:rsid w:val="00473605"/>
    <w:rsid w:val="004739BB"/>
    <w:rsid w:val="004746EF"/>
    <w:rsid w:val="0047471D"/>
    <w:rsid w:val="00474882"/>
    <w:rsid w:val="00475309"/>
    <w:rsid w:val="0047597C"/>
    <w:rsid w:val="00475AE6"/>
    <w:rsid w:val="00475D73"/>
    <w:rsid w:val="00476028"/>
    <w:rsid w:val="00476107"/>
    <w:rsid w:val="00476E5E"/>
    <w:rsid w:val="00476E7D"/>
    <w:rsid w:val="004819F7"/>
    <w:rsid w:val="00481BE6"/>
    <w:rsid w:val="00482990"/>
    <w:rsid w:val="00483708"/>
    <w:rsid w:val="00484475"/>
    <w:rsid w:val="00484846"/>
    <w:rsid w:val="00484FD0"/>
    <w:rsid w:val="00486004"/>
    <w:rsid w:val="0048614C"/>
    <w:rsid w:val="00486C02"/>
    <w:rsid w:val="004875BE"/>
    <w:rsid w:val="0048761E"/>
    <w:rsid w:val="00487D6E"/>
    <w:rsid w:val="00490A81"/>
    <w:rsid w:val="00490C49"/>
    <w:rsid w:val="00490E77"/>
    <w:rsid w:val="00490F9A"/>
    <w:rsid w:val="00491076"/>
    <w:rsid w:val="00491348"/>
    <w:rsid w:val="00491389"/>
    <w:rsid w:val="004913C7"/>
    <w:rsid w:val="004915A3"/>
    <w:rsid w:val="00491EFC"/>
    <w:rsid w:val="004926B4"/>
    <w:rsid w:val="00492BCA"/>
    <w:rsid w:val="00492F4E"/>
    <w:rsid w:val="00493137"/>
    <w:rsid w:val="00493668"/>
    <w:rsid w:val="0049424F"/>
    <w:rsid w:val="00495A5D"/>
    <w:rsid w:val="004967DD"/>
    <w:rsid w:val="00497063"/>
    <w:rsid w:val="00497B7F"/>
    <w:rsid w:val="004A01F0"/>
    <w:rsid w:val="004A0477"/>
    <w:rsid w:val="004A1760"/>
    <w:rsid w:val="004A3256"/>
    <w:rsid w:val="004A380F"/>
    <w:rsid w:val="004A39C4"/>
    <w:rsid w:val="004A42D3"/>
    <w:rsid w:val="004A68C3"/>
    <w:rsid w:val="004A7607"/>
    <w:rsid w:val="004A78D8"/>
    <w:rsid w:val="004A7E82"/>
    <w:rsid w:val="004B1382"/>
    <w:rsid w:val="004B1EAC"/>
    <w:rsid w:val="004B34C7"/>
    <w:rsid w:val="004B382D"/>
    <w:rsid w:val="004B48BE"/>
    <w:rsid w:val="004B49F3"/>
    <w:rsid w:val="004B5025"/>
    <w:rsid w:val="004B54E3"/>
    <w:rsid w:val="004B5F68"/>
    <w:rsid w:val="004B667B"/>
    <w:rsid w:val="004B6ACB"/>
    <w:rsid w:val="004B6AEC"/>
    <w:rsid w:val="004B743E"/>
    <w:rsid w:val="004B758C"/>
    <w:rsid w:val="004B77D3"/>
    <w:rsid w:val="004B77FA"/>
    <w:rsid w:val="004B781A"/>
    <w:rsid w:val="004C16F4"/>
    <w:rsid w:val="004C1D16"/>
    <w:rsid w:val="004C2558"/>
    <w:rsid w:val="004C2C01"/>
    <w:rsid w:val="004C2C2D"/>
    <w:rsid w:val="004C30E2"/>
    <w:rsid w:val="004C365C"/>
    <w:rsid w:val="004C4F17"/>
    <w:rsid w:val="004C56BA"/>
    <w:rsid w:val="004C56C4"/>
    <w:rsid w:val="004C726D"/>
    <w:rsid w:val="004D00FE"/>
    <w:rsid w:val="004D03E5"/>
    <w:rsid w:val="004D0402"/>
    <w:rsid w:val="004D073D"/>
    <w:rsid w:val="004D0D63"/>
    <w:rsid w:val="004D101B"/>
    <w:rsid w:val="004D2B01"/>
    <w:rsid w:val="004D34A2"/>
    <w:rsid w:val="004D3DD3"/>
    <w:rsid w:val="004D50ED"/>
    <w:rsid w:val="004D57EA"/>
    <w:rsid w:val="004D58AA"/>
    <w:rsid w:val="004D69DC"/>
    <w:rsid w:val="004D7FE0"/>
    <w:rsid w:val="004E086A"/>
    <w:rsid w:val="004E2410"/>
    <w:rsid w:val="004E2DFB"/>
    <w:rsid w:val="004E30CB"/>
    <w:rsid w:val="004E3652"/>
    <w:rsid w:val="004E5585"/>
    <w:rsid w:val="004E6685"/>
    <w:rsid w:val="004E692A"/>
    <w:rsid w:val="004E69FF"/>
    <w:rsid w:val="004E754F"/>
    <w:rsid w:val="004E7E4B"/>
    <w:rsid w:val="004F0A90"/>
    <w:rsid w:val="004F1FA0"/>
    <w:rsid w:val="004F203D"/>
    <w:rsid w:val="004F25BD"/>
    <w:rsid w:val="004F4698"/>
    <w:rsid w:val="004F477D"/>
    <w:rsid w:val="004F4B69"/>
    <w:rsid w:val="004F4D96"/>
    <w:rsid w:val="004F52F6"/>
    <w:rsid w:val="004F6D59"/>
    <w:rsid w:val="004F728C"/>
    <w:rsid w:val="004F7580"/>
    <w:rsid w:val="004F75B4"/>
    <w:rsid w:val="004F7AA7"/>
    <w:rsid w:val="004F7CE8"/>
    <w:rsid w:val="005003CF"/>
    <w:rsid w:val="0050195C"/>
    <w:rsid w:val="005021ED"/>
    <w:rsid w:val="00502E67"/>
    <w:rsid w:val="00503064"/>
    <w:rsid w:val="005032AB"/>
    <w:rsid w:val="00503FBB"/>
    <w:rsid w:val="005046D5"/>
    <w:rsid w:val="00506375"/>
    <w:rsid w:val="00506EB6"/>
    <w:rsid w:val="005073B1"/>
    <w:rsid w:val="00507946"/>
    <w:rsid w:val="00507D93"/>
    <w:rsid w:val="00510790"/>
    <w:rsid w:val="005109B3"/>
    <w:rsid w:val="005109E2"/>
    <w:rsid w:val="00511F2B"/>
    <w:rsid w:val="005143EF"/>
    <w:rsid w:val="0051489C"/>
    <w:rsid w:val="005160A0"/>
    <w:rsid w:val="005169BA"/>
    <w:rsid w:val="00517064"/>
    <w:rsid w:val="0051707A"/>
    <w:rsid w:val="00517186"/>
    <w:rsid w:val="0051720F"/>
    <w:rsid w:val="005204CB"/>
    <w:rsid w:val="005205E2"/>
    <w:rsid w:val="005210F4"/>
    <w:rsid w:val="00521944"/>
    <w:rsid w:val="00521C54"/>
    <w:rsid w:val="00523E0A"/>
    <w:rsid w:val="00523F78"/>
    <w:rsid w:val="005252BC"/>
    <w:rsid w:val="005263CF"/>
    <w:rsid w:val="005268A0"/>
    <w:rsid w:val="005272CA"/>
    <w:rsid w:val="00527D91"/>
    <w:rsid w:val="00530415"/>
    <w:rsid w:val="00530B12"/>
    <w:rsid w:val="00530B85"/>
    <w:rsid w:val="00530D2D"/>
    <w:rsid w:val="00530DE7"/>
    <w:rsid w:val="005311B1"/>
    <w:rsid w:val="0053147C"/>
    <w:rsid w:val="00531663"/>
    <w:rsid w:val="00531D9C"/>
    <w:rsid w:val="00532202"/>
    <w:rsid w:val="00532CEB"/>
    <w:rsid w:val="005338E6"/>
    <w:rsid w:val="005338F2"/>
    <w:rsid w:val="005373F7"/>
    <w:rsid w:val="0053765B"/>
    <w:rsid w:val="00537D52"/>
    <w:rsid w:val="00540184"/>
    <w:rsid w:val="00540261"/>
    <w:rsid w:val="0054028D"/>
    <w:rsid w:val="0054072C"/>
    <w:rsid w:val="005409AE"/>
    <w:rsid w:val="0054106C"/>
    <w:rsid w:val="005412C4"/>
    <w:rsid w:val="00542566"/>
    <w:rsid w:val="005425DD"/>
    <w:rsid w:val="005428D7"/>
    <w:rsid w:val="00542A17"/>
    <w:rsid w:val="005432E8"/>
    <w:rsid w:val="0054368E"/>
    <w:rsid w:val="00544D26"/>
    <w:rsid w:val="00545631"/>
    <w:rsid w:val="00545AC4"/>
    <w:rsid w:val="00545CD6"/>
    <w:rsid w:val="00545CFA"/>
    <w:rsid w:val="005460B0"/>
    <w:rsid w:val="00546C85"/>
    <w:rsid w:val="00546CEB"/>
    <w:rsid w:val="00546EAC"/>
    <w:rsid w:val="0054762D"/>
    <w:rsid w:val="00547D28"/>
    <w:rsid w:val="0055209F"/>
    <w:rsid w:val="00552588"/>
    <w:rsid w:val="00552789"/>
    <w:rsid w:val="00552F83"/>
    <w:rsid w:val="00555071"/>
    <w:rsid w:val="005553A1"/>
    <w:rsid w:val="0055625D"/>
    <w:rsid w:val="005568AB"/>
    <w:rsid w:val="00556A72"/>
    <w:rsid w:val="0055746E"/>
    <w:rsid w:val="00557810"/>
    <w:rsid w:val="00557CB6"/>
    <w:rsid w:val="00557D19"/>
    <w:rsid w:val="005602C9"/>
    <w:rsid w:val="005630DD"/>
    <w:rsid w:val="00563604"/>
    <w:rsid w:val="0056389B"/>
    <w:rsid w:val="00563C3D"/>
    <w:rsid w:val="0056473A"/>
    <w:rsid w:val="00564F55"/>
    <w:rsid w:val="005653D0"/>
    <w:rsid w:val="005664A3"/>
    <w:rsid w:val="0056789E"/>
    <w:rsid w:val="00567F52"/>
    <w:rsid w:val="005702FA"/>
    <w:rsid w:val="005711E9"/>
    <w:rsid w:val="005738AE"/>
    <w:rsid w:val="0057465E"/>
    <w:rsid w:val="00574B65"/>
    <w:rsid w:val="00576121"/>
    <w:rsid w:val="0058002A"/>
    <w:rsid w:val="00580FF4"/>
    <w:rsid w:val="0058126E"/>
    <w:rsid w:val="00581762"/>
    <w:rsid w:val="00581A20"/>
    <w:rsid w:val="00581DEA"/>
    <w:rsid w:val="00581E45"/>
    <w:rsid w:val="005836C4"/>
    <w:rsid w:val="0058437F"/>
    <w:rsid w:val="00584A0E"/>
    <w:rsid w:val="005854A5"/>
    <w:rsid w:val="00585AAC"/>
    <w:rsid w:val="0058635D"/>
    <w:rsid w:val="0058657D"/>
    <w:rsid w:val="005866C4"/>
    <w:rsid w:val="0058702E"/>
    <w:rsid w:val="00587317"/>
    <w:rsid w:val="00587489"/>
    <w:rsid w:val="00587865"/>
    <w:rsid w:val="00590A37"/>
    <w:rsid w:val="00590FF8"/>
    <w:rsid w:val="0059207A"/>
    <w:rsid w:val="00592EC3"/>
    <w:rsid w:val="00594218"/>
    <w:rsid w:val="00594322"/>
    <w:rsid w:val="0059562E"/>
    <w:rsid w:val="0059705E"/>
    <w:rsid w:val="005976C7"/>
    <w:rsid w:val="00597767"/>
    <w:rsid w:val="005A0586"/>
    <w:rsid w:val="005A0D49"/>
    <w:rsid w:val="005A0E05"/>
    <w:rsid w:val="005A1396"/>
    <w:rsid w:val="005A18C5"/>
    <w:rsid w:val="005A2164"/>
    <w:rsid w:val="005A2AF9"/>
    <w:rsid w:val="005A3044"/>
    <w:rsid w:val="005A3232"/>
    <w:rsid w:val="005A32EA"/>
    <w:rsid w:val="005A38AE"/>
    <w:rsid w:val="005A5415"/>
    <w:rsid w:val="005A544E"/>
    <w:rsid w:val="005A554F"/>
    <w:rsid w:val="005A5A55"/>
    <w:rsid w:val="005A6AC4"/>
    <w:rsid w:val="005A6AE1"/>
    <w:rsid w:val="005A6B23"/>
    <w:rsid w:val="005A6FD8"/>
    <w:rsid w:val="005A738C"/>
    <w:rsid w:val="005B0276"/>
    <w:rsid w:val="005B17A5"/>
    <w:rsid w:val="005B28F8"/>
    <w:rsid w:val="005B2AD4"/>
    <w:rsid w:val="005B3807"/>
    <w:rsid w:val="005B3944"/>
    <w:rsid w:val="005B3E83"/>
    <w:rsid w:val="005B4C3B"/>
    <w:rsid w:val="005B5AC2"/>
    <w:rsid w:val="005B5DEC"/>
    <w:rsid w:val="005B5F73"/>
    <w:rsid w:val="005B69CC"/>
    <w:rsid w:val="005B6E0B"/>
    <w:rsid w:val="005C0052"/>
    <w:rsid w:val="005C00C2"/>
    <w:rsid w:val="005C0A77"/>
    <w:rsid w:val="005C3547"/>
    <w:rsid w:val="005C36C4"/>
    <w:rsid w:val="005C3828"/>
    <w:rsid w:val="005C3DFA"/>
    <w:rsid w:val="005C3FF9"/>
    <w:rsid w:val="005C4AE1"/>
    <w:rsid w:val="005C557A"/>
    <w:rsid w:val="005C573F"/>
    <w:rsid w:val="005C5B84"/>
    <w:rsid w:val="005C63FD"/>
    <w:rsid w:val="005C673B"/>
    <w:rsid w:val="005C6860"/>
    <w:rsid w:val="005C6F54"/>
    <w:rsid w:val="005C724C"/>
    <w:rsid w:val="005C757C"/>
    <w:rsid w:val="005C76E1"/>
    <w:rsid w:val="005D020C"/>
    <w:rsid w:val="005D02DA"/>
    <w:rsid w:val="005D1CC0"/>
    <w:rsid w:val="005D2339"/>
    <w:rsid w:val="005D2829"/>
    <w:rsid w:val="005D291B"/>
    <w:rsid w:val="005D329D"/>
    <w:rsid w:val="005D3B58"/>
    <w:rsid w:val="005D3F96"/>
    <w:rsid w:val="005D5002"/>
    <w:rsid w:val="005D5059"/>
    <w:rsid w:val="005D63E7"/>
    <w:rsid w:val="005D6783"/>
    <w:rsid w:val="005D6A70"/>
    <w:rsid w:val="005D750F"/>
    <w:rsid w:val="005D769E"/>
    <w:rsid w:val="005D7963"/>
    <w:rsid w:val="005E0157"/>
    <w:rsid w:val="005E0395"/>
    <w:rsid w:val="005E0FE0"/>
    <w:rsid w:val="005E1230"/>
    <w:rsid w:val="005E14DA"/>
    <w:rsid w:val="005E1996"/>
    <w:rsid w:val="005E33A2"/>
    <w:rsid w:val="005E38F5"/>
    <w:rsid w:val="005E3999"/>
    <w:rsid w:val="005E3AB5"/>
    <w:rsid w:val="005E3CAD"/>
    <w:rsid w:val="005E4117"/>
    <w:rsid w:val="005E4E9A"/>
    <w:rsid w:val="005E5122"/>
    <w:rsid w:val="005E7157"/>
    <w:rsid w:val="005E7AD8"/>
    <w:rsid w:val="005E7B1C"/>
    <w:rsid w:val="005F007E"/>
    <w:rsid w:val="005F0389"/>
    <w:rsid w:val="005F0784"/>
    <w:rsid w:val="005F07E1"/>
    <w:rsid w:val="005F0E9F"/>
    <w:rsid w:val="005F1B5E"/>
    <w:rsid w:val="005F21EE"/>
    <w:rsid w:val="005F259D"/>
    <w:rsid w:val="005F2E41"/>
    <w:rsid w:val="005F3397"/>
    <w:rsid w:val="005F3AB9"/>
    <w:rsid w:val="005F3CAA"/>
    <w:rsid w:val="005F4F8B"/>
    <w:rsid w:val="005F6015"/>
    <w:rsid w:val="005F6157"/>
    <w:rsid w:val="005F623C"/>
    <w:rsid w:val="005F63E1"/>
    <w:rsid w:val="005F6D04"/>
    <w:rsid w:val="005F7AE7"/>
    <w:rsid w:val="005F7D99"/>
    <w:rsid w:val="00600116"/>
    <w:rsid w:val="00600356"/>
    <w:rsid w:val="00602ED4"/>
    <w:rsid w:val="006040BF"/>
    <w:rsid w:val="00604D49"/>
    <w:rsid w:val="00604E5A"/>
    <w:rsid w:val="00604F1A"/>
    <w:rsid w:val="0060521F"/>
    <w:rsid w:val="006056FC"/>
    <w:rsid w:val="00606323"/>
    <w:rsid w:val="006066C0"/>
    <w:rsid w:val="00607918"/>
    <w:rsid w:val="00607DD6"/>
    <w:rsid w:val="0061055E"/>
    <w:rsid w:val="006109AA"/>
    <w:rsid w:val="00610C4C"/>
    <w:rsid w:val="0061134F"/>
    <w:rsid w:val="00611B6C"/>
    <w:rsid w:val="00612956"/>
    <w:rsid w:val="00613886"/>
    <w:rsid w:val="00613F51"/>
    <w:rsid w:val="006145FC"/>
    <w:rsid w:val="006147C6"/>
    <w:rsid w:val="00614886"/>
    <w:rsid w:val="00614E97"/>
    <w:rsid w:val="006151B0"/>
    <w:rsid w:val="0061545C"/>
    <w:rsid w:val="006158ED"/>
    <w:rsid w:val="00615DBB"/>
    <w:rsid w:val="00616A40"/>
    <w:rsid w:val="00616F37"/>
    <w:rsid w:val="00617415"/>
    <w:rsid w:val="006179DF"/>
    <w:rsid w:val="00617D8A"/>
    <w:rsid w:val="00617F1D"/>
    <w:rsid w:val="00620410"/>
    <w:rsid w:val="00621363"/>
    <w:rsid w:val="00621A24"/>
    <w:rsid w:val="006220F6"/>
    <w:rsid w:val="00622925"/>
    <w:rsid w:val="00622BD9"/>
    <w:rsid w:val="006239EA"/>
    <w:rsid w:val="00624067"/>
    <w:rsid w:val="00624461"/>
    <w:rsid w:val="00625181"/>
    <w:rsid w:val="0062578E"/>
    <w:rsid w:val="00626288"/>
    <w:rsid w:val="00626EEB"/>
    <w:rsid w:val="00627A6B"/>
    <w:rsid w:val="00627A6C"/>
    <w:rsid w:val="00627D87"/>
    <w:rsid w:val="006304E5"/>
    <w:rsid w:val="006306A7"/>
    <w:rsid w:val="0063070A"/>
    <w:rsid w:val="00630CA2"/>
    <w:rsid w:val="00631481"/>
    <w:rsid w:val="00632219"/>
    <w:rsid w:val="00633243"/>
    <w:rsid w:val="006346B1"/>
    <w:rsid w:val="0063513F"/>
    <w:rsid w:val="00635AFB"/>
    <w:rsid w:val="00635B3A"/>
    <w:rsid w:val="006360E7"/>
    <w:rsid w:val="006373B0"/>
    <w:rsid w:val="00640037"/>
    <w:rsid w:val="00640197"/>
    <w:rsid w:val="006402DA"/>
    <w:rsid w:val="00642951"/>
    <w:rsid w:val="00643803"/>
    <w:rsid w:val="00643C4B"/>
    <w:rsid w:val="00643DB9"/>
    <w:rsid w:val="00644292"/>
    <w:rsid w:val="00644524"/>
    <w:rsid w:val="00644BC1"/>
    <w:rsid w:val="0064502D"/>
    <w:rsid w:val="00645076"/>
    <w:rsid w:val="0064562A"/>
    <w:rsid w:val="0064661D"/>
    <w:rsid w:val="00646743"/>
    <w:rsid w:val="00646E34"/>
    <w:rsid w:val="00646E35"/>
    <w:rsid w:val="00646E5A"/>
    <w:rsid w:val="00647F41"/>
    <w:rsid w:val="00650314"/>
    <w:rsid w:val="0065099D"/>
    <w:rsid w:val="00650B43"/>
    <w:rsid w:val="00650DA8"/>
    <w:rsid w:val="00650FE2"/>
    <w:rsid w:val="006529F1"/>
    <w:rsid w:val="00652AAA"/>
    <w:rsid w:val="00652BAC"/>
    <w:rsid w:val="00652F23"/>
    <w:rsid w:val="00653566"/>
    <w:rsid w:val="0065386F"/>
    <w:rsid w:val="00653938"/>
    <w:rsid w:val="00653A80"/>
    <w:rsid w:val="0065402F"/>
    <w:rsid w:val="00654877"/>
    <w:rsid w:val="00654C27"/>
    <w:rsid w:val="00654C67"/>
    <w:rsid w:val="00654EF1"/>
    <w:rsid w:val="00655C0C"/>
    <w:rsid w:val="00655C24"/>
    <w:rsid w:val="00655E94"/>
    <w:rsid w:val="006566F2"/>
    <w:rsid w:val="00656777"/>
    <w:rsid w:val="00657661"/>
    <w:rsid w:val="0066004B"/>
    <w:rsid w:val="006607C5"/>
    <w:rsid w:val="00661677"/>
    <w:rsid w:val="006618F3"/>
    <w:rsid w:val="00661F68"/>
    <w:rsid w:val="006646A8"/>
    <w:rsid w:val="00664905"/>
    <w:rsid w:val="00664BC3"/>
    <w:rsid w:val="00664CED"/>
    <w:rsid w:val="0066507D"/>
    <w:rsid w:val="00665380"/>
    <w:rsid w:val="00665DE0"/>
    <w:rsid w:val="00665F6C"/>
    <w:rsid w:val="00665FA1"/>
    <w:rsid w:val="0066616A"/>
    <w:rsid w:val="006662D9"/>
    <w:rsid w:val="00666728"/>
    <w:rsid w:val="00667115"/>
    <w:rsid w:val="006713A5"/>
    <w:rsid w:val="0067178E"/>
    <w:rsid w:val="0067184B"/>
    <w:rsid w:val="00672170"/>
    <w:rsid w:val="0067240A"/>
    <w:rsid w:val="006724EB"/>
    <w:rsid w:val="00672710"/>
    <w:rsid w:val="00673039"/>
    <w:rsid w:val="0067318A"/>
    <w:rsid w:val="006733E3"/>
    <w:rsid w:val="00673934"/>
    <w:rsid w:val="00674425"/>
    <w:rsid w:val="00674A47"/>
    <w:rsid w:val="00674D02"/>
    <w:rsid w:val="00675B02"/>
    <w:rsid w:val="00675EAB"/>
    <w:rsid w:val="00677451"/>
    <w:rsid w:val="006776CE"/>
    <w:rsid w:val="00680517"/>
    <w:rsid w:val="00680D88"/>
    <w:rsid w:val="00683108"/>
    <w:rsid w:val="006833DB"/>
    <w:rsid w:val="00683F14"/>
    <w:rsid w:val="00683F20"/>
    <w:rsid w:val="0068434D"/>
    <w:rsid w:val="006845FD"/>
    <w:rsid w:val="00686B7F"/>
    <w:rsid w:val="00686F5E"/>
    <w:rsid w:val="00687894"/>
    <w:rsid w:val="00687F0A"/>
    <w:rsid w:val="00690C34"/>
    <w:rsid w:val="00691BD5"/>
    <w:rsid w:val="00691BE0"/>
    <w:rsid w:val="0069254E"/>
    <w:rsid w:val="006926E8"/>
    <w:rsid w:val="006928DA"/>
    <w:rsid w:val="006929BC"/>
    <w:rsid w:val="0069345C"/>
    <w:rsid w:val="00694392"/>
    <w:rsid w:val="00694B00"/>
    <w:rsid w:val="00695036"/>
    <w:rsid w:val="006950AD"/>
    <w:rsid w:val="0069565D"/>
    <w:rsid w:val="00696719"/>
    <w:rsid w:val="00696A3D"/>
    <w:rsid w:val="00696E91"/>
    <w:rsid w:val="00697C6D"/>
    <w:rsid w:val="006A036B"/>
    <w:rsid w:val="006A257D"/>
    <w:rsid w:val="006A2844"/>
    <w:rsid w:val="006A30D9"/>
    <w:rsid w:val="006A3672"/>
    <w:rsid w:val="006A39B3"/>
    <w:rsid w:val="006A3D5F"/>
    <w:rsid w:val="006A3D9B"/>
    <w:rsid w:val="006A411C"/>
    <w:rsid w:val="006A4BDE"/>
    <w:rsid w:val="006A4D90"/>
    <w:rsid w:val="006A53D2"/>
    <w:rsid w:val="006A6BA2"/>
    <w:rsid w:val="006A70AA"/>
    <w:rsid w:val="006A78F6"/>
    <w:rsid w:val="006A7A93"/>
    <w:rsid w:val="006B2CA5"/>
    <w:rsid w:val="006B31EB"/>
    <w:rsid w:val="006B34AF"/>
    <w:rsid w:val="006B467B"/>
    <w:rsid w:val="006B49B3"/>
    <w:rsid w:val="006B6346"/>
    <w:rsid w:val="006B7069"/>
    <w:rsid w:val="006B7DDA"/>
    <w:rsid w:val="006C003D"/>
    <w:rsid w:val="006C04F0"/>
    <w:rsid w:val="006C177A"/>
    <w:rsid w:val="006C1E94"/>
    <w:rsid w:val="006C3343"/>
    <w:rsid w:val="006C4346"/>
    <w:rsid w:val="006C45D6"/>
    <w:rsid w:val="006C473B"/>
    <w:rsid w:val="006C47E8"/>
    <w:rsid w:val="006C4808"/>
    <w:rsid w:val="006C4C38"/>
    <w:rsid w:val="006C5C86"/>
    <w:rsid w:val="006C67DA"/>
    <w:rsid w:val="006C6AB5"/>
    <w:rsid w:val="006C6B79"/>
    <w:rsid w:val="006C79AC"/>
    <w:rsid w:val="006D07E6"/>
    <w:rsid w:val="006D0A90"/>
    <w:rsid w:val="006D10ED"/>
    <w:rsid w:val="006D1BC2"/>
    <w:rsid w:val="006D1C37"/>
    <w:rsid w:val="006D1F78"/>
    <w:rsid w:val="006D33AF"/>
    <w:rsid w:val="006D3F5F"/>
    <w:rsid w:val="006D4525"/>
    <w:rsid w:val="006D509F"/>
    <w:rsid w:val="006D5651"/>
    <w:rsid w:val="006D58B5"/>
    <w:rsid w:val="006D5CDC"/>
    <w:rsid w:val="006D6F77"/>
    <w:rsid w:val="006D7005"/>
    <w:rsid w:val="006D70DC"/>
    <w:rsid w:val="006D7BA7"/>
    <w:rsid w:val="006D7ED7"/>
    <w:rsid w:val="006E00CF"/>
    <w:rsid w:val="006E06AE"/>
    <w:rsid w:val="006E1270"/>
    <w:rsid w:val="006E1950"/>
    <w:rsid w:val="006E1967"/>
    <w:rsid w:val="006E1CBE"/>
    <w:rsid w:val="006E26E4"/>
    <w:rsid w:val="006E2AE6"/>
    <w:rsid w:val="006E3543"/>
    <w:rsid w:val="006E48CF"/>
    <w:rsid w:val="006E4C3B"/>
    <w:rsid w:val="006E5016"/>
    <w:rsid w:val="006E5B71"/>
    <w:rsid w:val="006F0679"/>
    <w:rsid w:val="006F0DD9"/>
    <w:rsid w:val="006F1249"/>
    <w:rsid w:val="006F26B5"/>
    <w:rsid w:val="006F3253"/>
    <w:rsid w:val="006F3D54"/>
    <w:rsid w:val="006F4395"/>
    <w:rsid w:val="006F47B3"/>
    <w:rsid w:val="006F47CA"/>
    <w:rsid w:val="006F4B18"/>
    <w:rsid w:val="006F501F"/>
    <w:rsid w:val="006F65A2"/>
    <w:rsid w:val="006F6A41"/>
    <w:rsid w:val="006F746C"/>
    <w:rsid w:val="006F76CE"/>
    <w:rsid w:val="006F7FB6"/>
    <w:rsid w:val="007014AB"/>
    <w:rsid w:val="007017C6"/>
    <w:rsid w:val="00701DD6"/>
    <w:rsid w:val="00702733"/>
    <w:rsid w:val="00703028"/>
    <w:rsid w:val="00703CCF"/>
    <w:rsid w:val="00703F1F"/>
    <w:rsid w:val="0070417A"/>
    <w:rsid w:val="007047EB"/>
    <w:rsid w:val="00704805"/>
    <w:rsid w:val="00705424"/>
    <w:rsid w:val="00706B69"/>
    <w:rsid w:val="00711002"/>
    <w:rsid w:val="00711E55"/>
    <w:rsid w:val="007120D0"/>
    <w:rsid w:val="007123DA"/>
    <w:rsid w:val="00712EA1"/>
    <w:rsid w:val="00713606"/>
    <w:rsid w:val="007138F8"/>
    <w:rsid w:val="0071535F"/>
    <w:rsid w:val="00715C32"/>
    <w:rsid w:val="007165FF"/>
    <w:rsid w:val="00717666"/>
    <w:rsid w:val="00720468"/>
    <w:rsid w:val="007229BC"/>
    <w:rsid w:val="00722B37"/>
    <w:rsid w:val="00723850"/>
    <w:rsid w:val="00723E14"/>
    <w:rsid w:val="00723E4D"/>
    <w:rsid w:val="0072421B"/>
    <w:rsid w:val="00724E87"/>
    <w:rsid w:val="00725048"/>
    <w:rsid w:val="007250D0"/>
    <w:rsid w:val="0072590A"/>
    <w:rsid w:val="00725A5F"/>
    <w:rsid w:val="00725AD6"/>
    <w:rsid w:val="00725AF7"/>
    <w:rsid w:val="00725F0B"/>
    <w:rsid w:val="0072712E"/>
    <w:rsid w:val="007275A6"/>
    <w:rsid w:val="00727840"/>
    <w:rsid w:val="00730004"/>
    <w:rsid w:val="00730BAE"/>
    <w:rsid w:val="00730CF6"/>
    <w:rsid w:val="0073131E"/>
    <w:rsid w:val="00731E8A"/>
    <w:rsid w:val="007325E5"/>
    <w:rsid w:val="00733850"/>
    <w:rsid w:val="00734464"/>
    <w:rsid w:val="00734944"/>
    <w:rsid w:val="00734995"/>
    <w:rsid w:val="00734A2B"/>
    <w:rsid w:val="00734B77"/>
    <w:rsid w:val="00734E24"/>
    <w:rsid w:val="007355B0"/>
    <w:rsid w:val="00735C6E"/>
    <w:rsid w:val="00735FDB"/>
    <w:rsid w:val="00736E61"/>
    <w:rsid w:val="00736ECE"/>
    <w:rsid w:val="00736F02"/>
    <w:rsid w:val="00737109"/>
    <w:rsid w:val="0073783C"/>
    <w:rsid w:val="00737866"/>
    <w:rsid w:val="00737D71"/>
    <w:rsid w:val="00740B07"/>
    <w:rsid w:val="007416B1"/>
    <w:rsid w:val="00741C58"/>
    <w:rsid w:val="0074248E"/>
    <w:rsid w:val="00742DC2"/>
    <w:rsid w:val="00743AAE"/>
    <w:rsid w:val="00743C37"/>
    <w:rsid w:val="00744E83"/>
    <w:rsid w:val="00745212"/>
    <w:rsid w:val="00745D8E"/>
    <w:rsid w:val="0074699E"/>
    <w:rsid w:val="00746B38"/>
    <w:rsid w:val="00746EDB"/>
    <w:rsid w:val="0074727F"/>
    <w:rsid w:val="00751F39"/>
    <w:rsid w:val="007520F6"/>
    <w:rsid w:val="0075228C"/>
    <w:rsid w:val="00752C9B"/>
    <w:rsid w:val="00753299"/>
    <w:rsid w:val="00753807"/>
    <w:rsid w:val="007539EA"/>
    <w:rsid w:val="007552AD"/>
    <w:rsid w:val="007553E5"/>
    <w:rsid w:val="00755D7C"/>
    <w:rsid w:val="00756D63"/>
    <w:rsid w:val="00756E11"/>
    <w:rsid w:val="007571EA"/>
    <w:rsid w:val="00757A6A"/>
    <w:rsid w:val="0076107D"/>
    <w:rsid w:val="00761355"/>
    <w:rsid w:val="00761F25"/>
    <w:rsid w:val="0076291D"/>
    <w:rsid w:val="00762FD8"/>
    <w:rsid w:val="00763461"/>
    <w:rsid w:val="00763633"/>
    <w:rsid w:val="00763FA1"/>
    <w:rsid w:val="00764BD5"/>
    <w:rsid w:val="00765F04"/>
    <w:rsid w:val="00766E62"/>
    <w:rsid w:val="007676FE"/>
    <w:rsid w:val="00770564"/>
    <w:rsid w:val="00770569"/>
    <w:rsid w:val="00770618"/>
    <w:rsid w:val="00770F4A"/>
    <w:rsid w:val="00771894"/>
    <w:rsid w:val="00771EEB"/>
    <w:rsid w:val="00772A8C"/>
    <w:rsid w:val="00773F0E"/>
    <w:rsid w:val="00776459"/>
    <w:rsid w:val="00776BAC"/>
    <w:rsid w:val="00777783"/>
    <w:rsid w:val="00777905"/>
    <w:rsid w:val="00777B40"/>
    <w:rsid w:val="00777DC6"/>
    <w:rsid w:val="00777FFD"/>
    <w:rsid w:val="00781053"/>
    <w:rsid w:val="00781FE1"/>
    <w:rsid w:val="0078277F"/>
    <w:rsid w:val="00782F73"/>
    <w:rsid w:val="0078394E"/>
    <w:rsid w:val="007843FE"/>
    <w:rsid w:val="00784781"/>
    <w:rsid w:val="00784A6D"/>
    <w:rsid w:val="00784BC9"/>
    <w:rsid w:val="00785BAF"/>
    <w:rsid w:val="00785C89"/>
    <w:rsid w:val="00786A95"/>
    <w:rsid w:val="00786FCF"/>
    <w:rsid w:val="0078778B"/>
    <w:rsid w:val="007878AB"/>
    <w:rsid w:val="00787ED0"/>
    <w:rsid w:val="0079038A"/>
    <w:rsid w:val="00790924"/>
    <w:rsid w:val="007909E8"/>
    <w:rsid w:val="00790C91"/>
    <w:rsid w:val="00791569"/>
    <w:rsid w:val="007916E0"/>
    <w:rsid w:val="00791814"/>
    <w:rsid w:val="00791DC1"/>
    <w:rsid w:val="00792D1B"/>
    <w:rsid w:val="00792D57"/>
    <w:rsid w:val="00793638"/>
    <w:rsid w:val="00793F70"/>
    <w:rsid w:val="00794A60"/>
    <w:rsid w:val="007955CC"/>
    <w:rsid w:val="0079585F"/>
    <w:rsid w:val="00796836"/>
    <w:rsid w:val="007971F5"/>
    <w:rsid w:val="007979DE"/>
    <w:rsid w:val="00797FEC"/>
    <w:rsid w:val="007A0EDB"/>
    <w:rsid w:val="007A390A"/>
    <w:rsid w:val="007A396C"/>
    <w:rsid w:val="007A441D"/>
    <w:rsid w:val="007A4F40"/>
    <w:rsid w:val="007A51C0"/>
    <w:rsid w:val="007A53D7"/>
    <w:rsid w:val="007A5955"/>
    <w:rsid w:val="007A59B7"/>
    <w:rsid w:val="007A5DC2"/>
    <w:rsid w:val="007A6AA5"/>
    <w:rsid w:val="007A6C88"/>
    <w:rsid w:val="007A6DB2"/>
    <w:rsid w:val="007A72F9"/>
    <w:rsid w:val="007B0741"/>
    <w:rsid w:val="007B0B6B"/>
    <w:rsid w:val="007B1402"/>
    <w:rsid w:val="007B29BA"/>
    <w:rsid w:val="007B2CFE"/>
    <w:rsid w:val="007B3C1F"/>
    <w:rsid w:val="007B405F"/>
    <w:rsid w:val="007B43DD"/>
    <w:rsid w:val="007B5A1C"/>
    <w:rsid w:val="007B5F8C"/>
    <w:rsid w:val="007B71CE"/>
    <w:rsid w:val="007B77BC"/>
    <w:rsid w:val="007B7A96"/>
    <w:rsid w:val="007C034F"/>
    <w:rsid w:val="007C0451"/>
    <w:rsid w:val="007C0CDB"/>
    <w:rsid w:val="007C11D2"/>
    <w:rsid w:val="007C17B4"/>
    <w:rsid w:val="007C27E5"/>
    <w:rsid w:val="007C2B02"/>
    <w:rsid w:val="007C38B5"/>
    <w:rsid w:val="007C3E99"/>
    <w:rsid w:val="007C4CA9"/>
    <w:rsid w:val="007C4F7E"/>
    <w:rsid w:val="007C50BA"/>
    <w:rsid w:val="007C5832"/>
    <w:rsid w:val="007C5CF3"/>
    <w:rsid w:val="007C61A9"/>
    <w:rsid w:val="007C6E8D"/>
    <w:rsid w:val="007C7A28"/>
    <w:rsid w:val="007C7CC4"/>
    <w:rsid w:val="007D0BF5"/>
    <w:rsid w:val="007D116B"/>
    <w:rsid w:val="007D198C"/>
    <w:rsid w:val="007D3B6B"/>
    <w:rsid w:val="007D4196"/>
    <w:rsid w:val="007D47AA"/>
    <w:rsid w:val="007D5037"/>
    <w:rsid w:val="007D50CF"/>
    <w:rsid w:val="007D5763"/>
    <w:rsid w:val="007D5E2D"/>
    <w:rsid w:val="007D5E2F"/>
    <w:rsid w:val="007D7876"/>
    <w:rsid w:val="007D799C"/>
    <w:rsid w:val="007E041E"/>
    <w:rsid w:val="007E1CEE"/>
    <w:rsid w:val="007E1F38"/>
    <w:rsid w:val="007E22E5"/>
    <w:rsid w:val="007E29CB"/>
    <w:rsid w:val="007E2A8C"/>
    <w:rsid w:val="007E2F58"/>
    <w:rsid w:val="007E329F"/>
    <w:rsid w:val="007E32FD"/>
    <w:rsid w:val="007E492E"/>
    <w:rsid w:val="007E5434"/>
    <w:rsid w:val="007E5699"/>
    <w:rsid w:val="007E62E3"/>
    <w:rsid w:val="007E63B5"/>
    <w:rsid w:val="007E642E"/>
    <w:rsid w:val="007E6EAA"/>
    <w:rsid w:val="007E756D"/>
    <w:rsid w:val="007F03C2"/>
    <w:rsid w:val="007F0F18"/>
    <w:rsid w:val="007F1C6B"/>
    <w:rsid w:val="007F2580"/>
    <w:rsid w:val="007F2708"/>
    <w:rsid w:val="007F3386"/>
    <w:rsid w:val="007F3428"/>
    <w:rsid w:val="007F43F2"/>
    <w:rsid w:val="007F4507"/>
    <w:rsid w:val="007F4FCF"/>
    <w:rsid w:val="007F520A"/>
    <w:rsid w:val="007F6C31"/>
    <w:rsid w:val="007F73DF"/>
    <w:rsid w:val="00802373"/>
    <w:rsid w:val="00802B61"/>
    <w:rsid w:val="00802CAA"/>
    <w:rsid w:val="00802D58"/>
    <w:rsid w:val="00803C16"/>
    <w:rsid w:val="008046FD"/>
    <w:rsid w:val="008048D7"/>
    <w:rsid w:val="00805C7B"/>
    <w:rsid w:val="00811331"/>
    <w:rsid w:val="008116C7"/>
    <w:rsid w:val="00811BD3"/>
    <w:rsid w:val="00813E0B"/>
    <w:rsid w:val="00814A59"/>
    <w:rsid w:val="00814C9D"/>
    <w:rsid w:val="00815281"/>
    <w:rsid w:val="008158DE"/>
    <w:rsid w:val="008159D7"/>
    <w:rsid w:val="00815CF2"/>
    <w:rsid w:val="008169C3"/>
    <w:rsid w:val="008172B1"/>
    <w:rsid w:val="00817D27"/>
    <w:rsid w:val="008201C0"/>
    <w:rsid w:val="00820203"/>
    <w:rsid w:val="00820BC2"/>
    <w:rsid w:val="00820F7B"/>
    <w:rsid w:val="00821622"/>
    <w:rsid w:val="00821BD1"/>
    <w:rsid w:val="00821D3F"/>
    <w:rsid w:val="00821FC9"/>
    <w:rsid w:val="00822620"/>
    <w:rsid w:val="00822E27"/>
    <w:rsid w:val="00822F87"/>
    <w:rsid w:val="00822FB1"/>
    <w:rsid w:val="00823346"/>
    <w:rsid w:val="00823914"/>
    <w:rsid w:val="0082443B"/>
    <w:rsid w:val="00824879"/>
    <w:rsid w:val="00824B9D"/>
    <w:rsid w:val="008263D1"/>
    <w:rsid w:val="008266C1"/>
    <w:rsid w:val="00826A6D"/>
    <w:rsid w:val="00826BBA"/>
    <w:rsid w:val="00826BBD"/>
    <w:rsid w:val="008275E0"/>
    <w:rsid w:val="008300C0"/>
    <w:rsid w:val="0083033A"/>
    <w:rsid w:val="00830FD3"/>
    <w:rsid w:val="0083114D"/>
    <w:rsid w:val="00831943"/>
    <w:rsid w:val="00832E5A"/>
    <w:rsid w:val="00833D48"/>
    <w:rsid w:val="008341E9"/>
    <w:rsid w:val="00834513"/>
    <w:rsid w:val="008349AE"/>
    <w:rsid w:val="008354C8"/>
    <w:rsid w:val="0083552C"/>
    <w:rsid w:val="008365EB"/>
    <w:rsid w:val="008401DC"/>
    <w:rsid w:val="00840325"/>
    <w:rsid w:val="00841105"/>
    <w:rsid w:val="00841CC1"/>
    <w:rsid w:val="0084259C"/>
    <w:rsid w:val="00842757"/>
    <w:rsid w:val="0084363D"/>
    <w:rsid w:val="00843980"/>
    <w:rsid w:val="00844059"/>
    <w:rsid w:val="00844266"/>
    <w:rsid w:val="00844532"/>
    <w:rsid w:val="00845969"/>
    <w:rsid w:val="00845E88"/>
    <w:rsid w:val="008464BB"/>
    <w:rsid w:val="0084681F"/>
    <w:rsid w:val="00846E3E"/>
    <w:rsid w:val="008470FD"/>
    <w:rsid w:val="00847747"/>
    <w:rsid w:val="00847F76"/>
    <w:rsid w:val="0085176B"/>
    <w:rsid w:val="00852768"/>
    <w:rsid w:val="00852929"/>
    <w:rsid w:val="00856A22"/>
    <w:rsid w:val="008571E3"/>
    <w:rsid w:val="00857A66"/>
    <w:rsid w:val="00860701"/>
    <w:rsid w:val="00860C18"/>
    <w:rsid w:val="00860FF8"/>
    <w:rsid w:val="00861243"/>
    <w:rsid w:val="00861544"/>
    <w:rsid w:val="008616FE"/>
    <w:rsid w:val="00862305"/>
    <w:rsid w:val="00862729"/>
    <w:rsid w:val="00862C56"/>
    <w:rsid w:val="00862D0A"/>
    <w:rsid w:val="008639E5"/>
    <w:rsid w:val="00864254"/>
    <w:rsid w:val="008643CB"/>
    <w:rsid w:val="00864880"/>
    <w:rsid w:val="00865110"/>
    <w:rsid w:val="008657C3"/>
    <w:rsid w:val="008659BD"/>
    <w:rsid w:val="00866530"/>
    <w:rsid w:val="00866873"/>
    <w:rsid w:val="008668EF"/>
    <w:rsid w:val="00867514"/>
    <w:rsid w:val="00867714"/>
    <w:rsid w:val="008705C1"/>
    <w:rsid w:val="008706C0"/>
    <w:rsid w:val="00870E99"/>
    <w:rsid w:val="00872088"/>
    <w:rsid w:val="00872DFD"/>
    <w:rsid w:val="008736B0"/>
    <w:rsid w:val="00874C43"/>
    <w:rsid w:val="00874D71"/>
    <w:rsid w:val="0087563E"/>
    <w:rsid w:val="00875A37"/>
    <w:rsid w:val="008768F4"/>
    <w:rsid w:val="00877724"/>
    <w:rsid w:val="0088059B"/>
    <w:rsid w:val="00880829"/>
    <w:rsid w:val="008810B5"/>
    <w:rsid w:val="0088266F"/>
    <w:rsid w:val="0088271B"/>
    <w:rsid w:val="00882EEE"/>
    <w:rsid w:val="00883697"/>
    <w:rsid w:val="00884824"/>
    <w:rsid w:val="0088532A"/>
    <w:rsid w:val="008855DE"/>
    <w:rsid w:val="008856BD"/>
    <w:rsid w:val="00886099"/>
    <w:rsid w:val="00886215"/>
    <w:rsid w:val="008862CA"/>
    <w:rsid w:val="00886A55"/>
    <w:rsid w:val="00886DA8"/>
    <w:rsid w:val="00890522"/>
    <w:rsid w:val="00890FCD"/>
    <w:rsid w:val="00891A2A"/>
    <w:rsid w:val="0089259E"/>
    <w:rsid w:val="008930E0"/>
    <w:rsid w:val="008932E1"/>
    <w:rsid w:val="00893B2B"/>
    <w:rsid w:val="00894DF4"/>
    <w:rsid w:val="00895C43"/>
    <w:rsid w:val="00895DDD"/>
    <w:rsid w:val="00895FD4"/>
    <w:rsid w:val="00896E8F"/>
    <w:rsid w:val="008974B3"/>
    <w:rsid w:val="0089762E"/>
    <w:rsid w:val="0089775B"/>
    <w:rsid w:val="008A1B51"/>
    <w:rsid w:val="008A1BB9"/>
    <w:rsid w:val="008A27A9"/>
    <w:rsid w:val="008A283F"/>
    <w:rsid w:val="008A2858"/>
    <w:rsid w:val="008A2EFD"/>
    <w:rsid w:val="008A4109"/>
    <w:rsid w:val="008A488F"/>
    <w:rsid w:val="008A5286"/>
    <w:rsid w:val="008A59E6"/>
    <w:rsid w:val="008A59E9"/>
    <w:rsid w:val="008A5F0D"/>
    <w:rsid w:val="008A6115"/>
    <w:rsid w:val="008A69B3"/>
    <w:rsid w:val="008A6A1D"/>
    <w:rsid w:val="008A6B56"/>
    <w:rsid w:val="008A796E"/>
    <w:rsid w:val="008A79F0"/>
    <w:rsid w:val="008B2CDB"/>
    <w:rsid w:val="008B38B9"/>
    <w:rsid w:val="008B3B9A"/>
    <w:rsid w:val="008B40E5"/>
    <w:rsid w:val="008B50D1"/>
    <w:rsid w:val="008B5503"/>
    <w:rsid w:val="008B5B04"/>
    <w:rsid w:val="008B5E4E"/>
    <w:rsid w:val="008B6F55"/>
    <w:rsid w:val="008B6FDB"/>
    <w:rsid w:val="008B718B"/>
    <w:rsid w:val="008B7ACF"/>
    <w:rsid w:val="008C0A65"/>
    <w:rsid w:val="008C1277"/>
    <w:rsid w:val="008C2DF1"/>
    <w:rsid w:val="008C5312"/>
    <w:rsid w:val="008C5AB2"/>
    <w:rsid w:val="008C69D8"/>
    <w:rsid w:val="008C6D2A"/>
    <w:rsid w:val="008C72BE"/>
    <w:rsid w:val="008D074F"/>
    <w:rsid w:val="008D0861"/>
    <w:rsid w:val="008D0CC9"/>
    <w:rsid w:val="008D0D4E"/>
    <w:rsid w:val="008D0EF5"/>
    <w:rsid w:val="008D10EE"/>
    <w:rsid w:val="008D1E1E"/>
    <w:rsid w:val="008D356B"/>
    <w:rsid w:val="008D5ADD"/>
    <w:rsid w:val="008D5B26"/>
    <w:rsid w:val="008D5F2F"/>
    <w:rsid w:val="008D67E9"/>
    <w:rsid w:val="008D67F1"/>
    <w:rsid w:val="008D6A83"/>
    <w:rsid w:val="008E02DC"/>
    <w:rsid w:val="008E03EE"/>
    <w:rsid w:val="008E0438"/>
    <w:rsid w:val="008E070F"/>
    <w:rsid w:val="008E0BE6"/>
    <w:rsid w:val="008E0C1C"/>
    <w:rsid w:val="008E0CA2"/>
    <w:rsid w:val="008E1448"/>
    <w:rsid w:val="008E20D3"/>
    <w:rsid w:val="008E234A"/>
    <w:rsid w:val="008E361D"/>
    <w:rsid w:val="008E49CE"/>
    <w:rsid w:val="008E63D1"/>
    <w:rsid w:val="008E63DD"/>
    <w:rsid w:val="008E6542"/>
    <w:rsid w:val="008E74EC"/>
    <w:rsid w:val="008E778A"/>
    <w:rsid w:val="008F08A4"/>
    <w:rsid w:val="008F09E6"/>
    <w:rsid w:val="008F231F"/>
    <w:rsid w:val="008F3AC5"/>
    <w:rsid w:val="008F40CF"/>
    <w:rsid w:val="008F4F76"/>
    <w:rsid w:val="008F5E44"/>
    <w:rsid w:val="008F6725"/>
    <w:rsid w:val="008F7D23"/>
    <w:rsid w:val="009006F1"/>
    <w:rsid w:val="009008F3"/>
    <w:rsid w:val="009010E8"/>
    <w:rsid w:val="009012B3"/>
    <w:rsid w:val="00901537"/>
    <w:rsid w:val="00901AA9"/>
    <w:rsid w:val="00902684"/>
    <w:rsid w:val="00902C24"/>
    <w:rsid w:val="00902CFC"/>
    <w:rsid w:val="00902ED6"/>
    <w:rsid w:val="009040AF"/>
    <w:rsid w:val="009054DE"/>
    <w:rsid w:val="00905973"/>
    <w:rsid w:val="00910B37"/>
    <w:rsid w:val="009128E9"/>
    <w:rsid w:val="0091397D"/>
    <w:rsid w:val="00913C33"/>
    <w:rsid w:val="00913E0B"/>
    <w:rsid w:val="00913E8C"/>
    <w:rsid w:val="0091519C"/>
    <w:rsid w:val="00915B65"/>
    <w:rsid w:val="00915B9F"/>
    <w:rsid w:val="00915C26"/>
    <w:rsid w:val="00915D0B"/>
    <w:rsid w:val="009162C3"/>
    <w:rsid w:val="0091735E"/>
    <w:rsid w:val="00917549"/>
    <w:rsid w:val="0091772D"/>
    <w:rsid w:val="0091786E"/>
    <w:rsid w:val="00917ED9"/>
    <w:rsid w:val="00920357"/>
    <w:rsid w:val="00920A35"/>
    <w:rsid w:val="009215A8"/>
    <w:rsid w:val="00921AC5"/>
    <w:rsid w:val="009221B6"/>
    <w:rsid w:val="00922792"/>
    <w:rsid w:val="00922AF5"/>
    <w:rsid w:val="00923493"/>
    <w:rsid w:val="009236C1"/>
    <w:rsid w:val="00923DA4"/>
    <w:rsid w:val="00924C83"/>
    <w:rsid w:val="00926004"/>
    <w:rsid w:val="00926B12"/>
    <w:rsid w:val="009272E2"/>
    <w:rsid w:val="00927411"/>
    <w:rsid w:val="00930769"/>
    <w:rsid w:val="00930F48"/>
    <w:rsid w:val="0093107D"/>
    <w:rsid w:val="00931597"/>
    <w:rsid w:val="00931A47"/>
    <w:rsid w:val="0093209D"/>
    <w:rsid w:val="009320AF"/>
    <w:rsid w:val="00932E01"/>
    <w:rsid w:val="00933CE3"/>
    <w:rsid w:val="00933FEE"/>
    <w:rsid w:val="00934597"/>
    <w:rsid w:val="009348A4"/>
    <w:rsid w:val="009358A8"/>
    <w:rsid w:val="009358AC"/>
    <w:rsid w:val="00936640"/>
    <w:rsid w:val="00936C69"/>
    <w:rsid w:val="00936E64"/>
    <w:rsid w:val="00936F28"/>
    <w:rsid w:val="00937040"/>
    <w:rsid w:val="00937E13"/>
    <w:rsid w:val="00940665"/>
    <w:rsid w:val="00940724"/>
    <w:rsid w:val="00942045"/>
    <w:rsid w:val="00942C85"/>
    <w:rsid w:val="0094358E"/>
    <w:rsid w:val="0094373F"/>
    <w:rsid w:val="00943858"/>
    <w:rsid w:val="00943C93"/>
    <w:rsid w:val="00943DB8"/>
    <w:rsid w:val="00944105"/>
    <w:rsid w:val="009444F4"/>
    <w:rsid w:val="0094454B"/>
    <w:rsid w:val="0094507D"/>
    <w:rsid w:val="009450A9"/>
    <w:rsid w:val="009450C0"/>
    <w:rsid w:val="009451B3"/>
    <w:rsid w:val="00945324"/>
    <w:rsid w:val="009455BD"/>
    <w:rsid w:val="00946CA4"/>
    <w:rsid w:val="0094758C"/>
    <w:rsid w:val="00947F7A"/>
    <w:rsid w:val="00947FBB"/>
    <w:rsid w:val="009500BE"/>
    <w:rsid w:val="00950179"/>
    <w:rsid w:val="0095032B"/>
    <w:rsid w:val="00951041"/>
    <w:rsid w:val="00951800"/>
    <w:rsid w:val="00951842"/>
    <w:rsid w:val="00951B09"/>
    <w:rsid w:val="00951BF9"/>
    <w:rsid w:val="00951E52"/>
    <w:rsid w:val="00951FE1"/>
    <w:rsid w:val="00952267"/>
    <w:rsid w:val="0095280F"/>
    <w:rsid w:val="00952D8A"/>
    <w:rsid w:val="0095326E"/>
    <w:rsid w:val="00953815"/>
    <w:rsid w:val="00953DA4"/>
    <w:rsid w:val="00954E5B"/>
    <w:rsid w:val="00954E62"/>
    <w:rsid w:val="0095671D"/>
    <w:rsid w:val="009604D5"/>
    <w:rsid w:val="00960567"/>
    <w:rsid w:val="009608E9"/>
    <w:rsid w:val="00960C44"/>
    <w:rsid w:val="00960D03"/>
    <w:rsid w:val="00961424"/>
    <w:rsid w:val="00962AEB"/>
    <w:rsid w:val="0096326C"/>
    <w:rsid w:val="0096552F"/>
    <w:rsid w:val="00965A69"/>
    <w:rsid w:val="0096608C"/>
    <w:rsid w:val="00966BB3"/>
    <w:rsid w:val="0096723B"/>
    <w:rsid w:val="0096756E"/>
    <w:rsid w:val="00967A56"/>
    <w:rsid w:val="00970745"/>
    <w:rsid w:val="0097132C"/>
    <w:rsid w:val="0097166D"/>
    <w:rsid w:val="00971727"/>
    <w:rsid w:val="009717EF"/>
    <w:rsid w:val="00971995"/>
    <w:rsid w:val="00971D88"/>
    <w:rsid w:val="00971FF6"/>
    <w:rsid w:val="00972013"/>
    <w:rsid w:val="00972662"/>
    <w:rsid w:val="0097314A"/>
    <w:rsid w:val="00973A53"/>
    <w:rsid w:val="00973AC6"/>
    <w:rsid w:val="00973E61"/>
    <w:rsid w:val="00973F5B"/>
    <w:rsid w:val="009742BD"/>
    <w:rsid w:val="0097598B"/>
    <w:rsid w:val="00975B07"/>
    <w:rsid w:val="00976301"/>
    <w:rsid w:val="00976556"/>
    <w:rsid w:val="00976B48"/>
    <w:rsid w:val="00976CBC"/>
    <w:rsid w:val="00977540"/>
    <w:rsid w:val="009800A1"/>
    <w:rsid w:val="00980A36"/>
    <w:rsid w:val="00980BFD"/>
    <w:rsid w:val="00980EE7"/>
    <w:rsid w:val="009821AF"/>
    <w:rsid w:val="0098241D"/>
    <w:rsid w:val="00982A4B"/>
    <w:rsid w:val="00982C1A"/>
    <w:rsid w:val="00982D01"/>
    <w:rsid w:val="00982E11"/>
    <w:rsid w:val="009831E4"/>
    <w:rsid w:val="00983445"/>
    <w:rsid w:val="009839AF"/>
    <w:rsid w:val="0098499D"/>
    <w:rsid w:val="009867D2"/>
    <w:rsid w:val="0098711F"/>
    <w:rsid w:val="00987771"/>
    <w:rsid w:val="00987AB9"/>
    <w:rsid w:val="009901CB"/>
    <w:rsid w:val="009926B8"/>
    <w:rsid w:val="009927DA"/>
    <w:rsid w:val="00992F46"/>
    <w:rsid w:val="00993AA1"/>
    <w:rsid w:val="00995157"/>
    <w:rsid w:val="009951A9"/>
    <w:rsid w:val="009952A1"/>
    <w:rsid w:val="009959FB"/>
    <w:rsid w:val="00997A23"/>
    <w:rsid w:val="00997A93"/>
    <w:rsid w:val="00997E75"/>
    <w:rsid w:val="009A13F8"/>
    <w:rsid w:val="009A25BA"/>
    <w:rsid w:val="009A2C07"/>
    <w:rsid w:val="009A30F8"/>
    <w:rsid w:val="009A330C"/>
    <w:rsid w:val="009A3F5A"/>
    <w:rsid w:val="009A48D5"/>
    <w:rsid w:val="009A4AC7"/>
    <w:rsid w:val="009A4C79"/>
    <w:rsid w:val="009A5618"/>
    <w:rsid w:val="009A5B46"/>
    <w:rsid w:val="009A6313"/>
    <w:rsid w:val="009A63E7"/>
    <w:rsid w:val="009A66CE"/>
    <w:rsid w:val="009A6702"/>
    <w:rsid w:val="009A6A41"/>
    <w:rsid w:val="009A77F3"/>
    <w:rsid w:val="009B07B1"/>
    <w:rsid w:val="009B0A23"/>
    <w:rsid w:val="009B0D80"/>
    <w:rsid w:val="009B11D6"/>
    <w:rsid w:val="009B1674"/>
    <w:rsid w:val="009B16F7"/>
    <w:rsid w:val="009B1966"/>
    <w:rsid w:val="009B1DA8"/>
    <w:rsid w:val="009B2070"/>
    <w:rsid w:val="009B2366"/>
    <w:rsid w:val="009B26D3"/>
    <w:rsid w:val="009B3D44"/>
    <w:rsid w:val="009B3E12"/>
    <w:rsid w:val="009B40B4"/>
    <w:rsid w:val="009B6807"/>
    <w:rsid w:val="009B72AB"/>
    <w:rsid w:val="009C0047"/>
    <w:rsid w:val="009C005D"/>
    <w:rsid w:val="009C1246"/>
    <w:rsid w:val="009C1B45"/>
    <w:rsid w:val="009C1E4A"/>
    <w:rsid w:val="009C22DC"/>
    <w:rsid w:val="009C26D8"/>
    <w:rsid w:val="009C2769"/>
    <w:rsid w:val="009C39C6"/>
    <w:rsid w:val="009C4027"/>
    <w:rsid w:val="009C47C2"/>
    <w:rsid w:val="009C47C8"/>
    <w:rsid w:val="009C48EE"/>
    <w:rsid w:val="009C4B0C"/>
    <w:rsid w:val="009C4DFF"/>
    <w:rsid w:val="009C510E"/>
    <w:rsid w:val="009C5276"/>
    <w:rsid w:val="009C600D"/>
    <w:rsid w:val="009C7168"/>
    <w:rsid w:val="009C72C1"/>
    <w:rsid w:val="009D0FCA"/>
    <w:rsid w:val="009D1E32"/>
    <w:rsid w:val="009D2538"/>
    <w:rsid w:val="009D2F7B"/>
    <w:rsid w:val="009D325E"/>
    <w:rsid w:val="009D343E"/>
    <w:rsid w:val="009D4779"/>
    <w:rsid w:val="009D5FF0"/>
    <w:rsid w:val="009D6235"/>
    <w:rsid w:val="009D701C"/>
    <w:rsid w:val="009D723B"/>
    <w:rsid w:val="009D731A"/>
    <w:rsid w:val="009D7340"/>
    <w:rsid w:val="009D7A02"/>
    <w:rsid w:val="009D7B36"/>
    <w:rsid w:val="009D7F6F"/>
    <w:rsid w:val="009E0736"/>
    <w:rsid w:val="009E0CDE"/>
    <w:rsid w:val="009E1274"/>
    <w:rsid w:val="009E1ACE"/>
    <w:rsid w:val="009E2E8F"/>
    <w:rsid w:val="009E3021"/>
    <w:rsid w:val="009E31B8"/>
    <w:rsid w:val="009E3259"/>
    <w:rsid w:val="009E3260"/>
    <w:rsid w:val="009E4004"/>
    <w:rsid w:val="009E44CE"/>
    <w:rsid w:val="009E48FA"/>
    <w:rsid w:val="009E5302"/>
    <w:rsid w:val="009E594C"/>
    <w:rsid w:val="009E5AAF"/>
    <w:rsid w:val="009E639F"/>
    <w:rsid w:val="009E74CF"/>
    <w:rsid w:val="009F0A8C"/>
    <w:rsid w:val="009F1993"/>
    <w:rsid w:val="009F2211"/>
    <w:rsid w:val="009F3142"/>
    <w:rsid w:val="009F3165"/>
    <w:rsid w:val="009F34DA"/>
    <w:rsid w:val="009F3830"/>
    <w:rsid w:val="009F3E74"/>
    <w:rsid w:val="009F4598"/>
    <w:rsid w:val="009F6564"/>
    <w:rsid w:val="009F6A15"/>
    <w:rsid w:val="009F7A25"/>
    <w:rsid w:val="00A006FA"/>
    <w:rsid w:val="00A00E87"/>
    <w:rsid w:val="00A014CE"/>
    <w:rsid w:val="00A01662"/>
    <w:rsid w:val="00A025E9"/>
    <w:rsid w:val="00A02D45"/>
    <w:rsid w:val="00A02EEF"/>
    <w:rsid w:val="00A047E0"/>
    <w:rsid w:val="00A07C5C"/>
    <w:rsid w:val="00A07EC7"/>
    <w:rsid w:val="00A105D0"/>
    <w:rsid w:val="00A11606"/>
    <w:rsid w:val="00A11DB0"/>
    <w:rsid w:val="00A138BE"/>
    <w:rsid w:val="00A13D2B"/>
    <w:rsid w:val="00A14964"/>
    <w:rsid w:val="00A14A58"/>
    <w:rsid w:val="00A14A80"/>
    <w:rsid w:val="00A14CC6"/>
    <w:rsid w:val="00A14DD8"/>
    <w:rsid w:val="00A14DDB"/>
    <w:rsid w:val="00A16338"/>
    <w:rsid w:val="00A1696F"/>
    <w:rsid w:val="00A17090"/>
    <w:rsid w:val="00A17434"/>
    <w:rsid w:val="00A17739"/>
    <w:rsid w:val="00A17D4A"/>
    <w:rsid w:val="00A17FA1"/>
    <w:rsid w:val="00A2056C"/>
    <w:rsid w:val="00A20892"/>
    <w:rsid w:val="00A20A66"/>
    <w:rsid w:val="00A215C7"/>
    <w:rsid w:val="00A21D99"/>
    <w:rsid w:val="00A22021"/>
    <w:rsid w:val="00A22A04"/>
    <w:rsid w:val="00A230D6"/>
    <w:rsid w:val="00A233E0"/>
    <w:rsid w:val="00A237A0"/>
    <w:rsid w:val="00A237A8"/>
    <w:rsid w:val="00A23AE3"/>
    <w:rsid w:val="00A2453B"/>
    <w:rsid w:val="00A24858"/>
    <w:rsid w:val="00A24B9F"/>
    <w:rsid w:val="00A2532B"/>
    <w:rsid w:val="00A253EE"/>
    <w:rsid w:val="00A27025"/>
    <w:rsid w:val="00A278CF"/>
    <w:rsid w:val="00A30063"/>
    <w:rsid w:val="00A30131"/>
    <w:rsid w:val="00A302CB"/>
    <w:rsid w:val="00A3067B"/>
    <w:rsid w:val="00A3067F"/>
    <w:rsid w:val="00A30902"/>
    <w:rsid w:val="00A31AF4"/>
    <w:rsid w:val="00A31C04"/>
    <w:rsid w:val="00A3267A"/>
    <w:rsid w:val="00A33254"/>
    <w:rsid w:val="00A337F0"/>
    <w:rsid w:val="00A342AE"/>
    <w:rsid w:val="00A354FE"/>
    <w:rsid w:val="00A37052"/>
    <w:rsid w:val="00A40216"/>
    <w:rsid w:val="00A4090D"/>
    <w:rsid w:val="00A41C31"/>
    <w:rsid w:val="00A4228F"/>
    <w:rsid w:val="00A426A4"/>
    <w:rsid w:val="00A43099"/>
    <w:rsid w:val="00A43724"/>
    <w:rsid w:val="00A43F99"/>
    <w:rsid w:val="00A44FF5"/>
    <w:rsid w:val="00A452AC"/>
    <w:rsid w:val="00A4657F"/>
    <w:rsid w:val="00A466D1"/>
    <w:rsid w:val="00A4695A"/>
    <w:rsid w:val="00A50A1E"/>
    <w:rsid w:val="00A50B04"/>
    <w:rsid w:val="00A51523"/>
    <w:rsid w:val="00A51A81"/>
    <w:rsid w:val="00A523DF"/>
    <w:rsid w:val="00A53692"/>
    <w:rsid w:val="00A5590F"/>
    <w:rsid w:val="00A56532"/>
    <w:rsid w:val="00A56EB3"/>
    <w:rsid w:val="00A56FEB"/>
    <w:rsid w:val="00A606B6"/>
    <w:rsid w:val="00A6077F"/>
    <w:rsid w:val="00A609E7"/>
    <w:rsid w:val="00A62E07"/>
    <w:rsid w:val="00A63190"/>
    <w:rsid w:val="00A634BC"/>
    <w:rsid w:val="00A645E0"/>
    <w:rsid w:val="00A653BA"/>
    <w:rsid w:val="00A65AB7"/>
    <w:rsid w:val="00A661BE"/>
    <w:rsid w:val="00A66B0B"/>
    <w:rsid w:val="00A67737"/>
    <w:rsid w:val="00A7071C"/>
    <w:rsid w:val="00A70A8F"/>
    <w:rsid w:val="00A71F79"/>
    <w:rsid w:val="00A720D9"/>
    <w:rsid w:val="00A721E2"/>
    <w:rsid w:val="00A723D0"/>
    <w:rsid w:val="00A72B5E"/>
    <w:rsid w:val="00A72D04"/>
    <w:rsid w:val="00A72E4C"/>
    <w:rsid w:val="00A73247"/>
    <w:rsid w:val="00A73DB2"/>
    <w:rsid w:val="00A740D1"/>
    <w:rsid w:val="00A74414"/>
    <w:rsid w:val="00A747AE"/>
    <w:rsid w:val="00A76334"/>
    <w:rsid w:val="00A76A39"/>
    <w:rsid w:val="00A76C19"/>
    <w:rsid w:val="00A804E3"/>
    <w:rsid w:val="00A8075D"/>
    <w:rsid w:val="00A808B2"/>
    <w:rsid w:val="00A81615"/>
    <w:rsid w:val="00A81D85"/>
    <w:rsid w:val="00A81F9A"/>
    <w:rsid w:val="00A82102"/>
    <w:rsid w:val="00A8221D"/>
    <w:rsid w:val="00A825D5"/>
    <w:rsid w:val="00A827A7"/>
    <w:rsid w:val="00A82FD7"/>
    <w:rsid w:val="00A8311C"/>
    <w:rsid w:val="00A832EC"/>
    <w:rsid w:val="00A83DFE"/>
    <w:rsid w:val="00A84317"/>
    <w:rsid w:val="00A84E62"/>
    <w:rsid w:val="00A851CE"/>
    <w:rsid w:val="00A858FF"/>
    <w:rsid w:val="00A859C9"/>
    <w:rsid w:val="00A910A0"/>
    <w:rsid w:val="00A920A1"/>
    <w:rsid w:val="00A92142"/>
    <w:rsid w:val="00A92BC2"/>
    <w:rsid w:val="00A93096"/>
    <w:rsid w:val="00A93E68"/>
    <w:rsid w:val="00A95467"/>
    <w:rsid w:val="00AA02BD"/>
    <w:rsid w:val="00AA05EA"/>
    <w:rsid w:val="00AA126F"/>
    <w:rsid w:val="00AA18E0"/>
    <w:rsid w:val="00AA2535"/>
    <w:rsid w:val="00AA25F4"/>
    <w:rsid w:val="00AA2A50"/>
    <w:rsid w:val="00AA46A4"/>
    <w:rsid w:val="00AA4998"/>
    <w:rsid w:val="00AA4B4C"/>
    <w:rsid w:val="00AA5B8A"/>
    <w:rsid w:val="00AA66B7"/>
    <w:rsid w:val="00AA6B98"/>
    <w:rsid w:val="00AA6C5E"/>
    <w:rsid w:val="00AA7A45"/>
    <w:rsid w:val="00AB0A10"/>
    <w:rsid w:val="00AB0DCF"/>
    <w:rsid w:val="00AB190B"/>
    <w:rsid w:val="00AB1B70"/>
    <w:rsid w:val="00AB1BDF"/>
    <w:rsid w:val="00AB1DFC"/>
    <w:rsid w:val="00AB24A1"/>
    <w:rsid w:val="00AB252C"/>
    <w:rsid w:val="00AB26AA"/>
    <w:rsid w:val="00AB298C"/>
    <w:rsid w:val="00AB2A0F"/>
    <w:rsid w:val="00AB2C84"/>
    <w:rsid w:val="00AB2CD4"/>
    <w:rsid w:val="00AB3505"/>
    <w:rsid w:val="00AB3945"/>
    <w:rsid w:val="00AB3BB2"/>
    <w:rsid w:val="00AB413E"/>
    <w:rsid w:val="00AB44D7"/>
    <w:rsid w:val="00AB47ED"/>
    <w:rsid w:val="00AB497E"/>
    <w:rsid w:val="00AB5C19"/>
    <w:rsid w:val="00AB643B"/>
    <w:rsid w:val="00AB7339"/>
    <w:rsid w:val="00AC0376"/>
    <w:rsid w:val="00AC03FA"/>
    <w:rsid w:val="00AC0558"/>
    <w:rsid w:val="00AC0B23"/>
    <w:rsid w:val="00AC0E32"/>
    <w:rsid w:val="00AC174E"/>
    <w:rsid w:val="00AC1A00"/>
    <w:rsid w:val="00AC1E0F"/>
    <w:rsid w:val="00AC2D1C"/>
    <w:rsid w:val="00AC37DF"/>
    <w:rsid w:val="00AC3EC1"/>
    <w:rsid w:val="00AC416F"/>
    <w:rsid w:val="00AC44E1"/>
    <w:rsid w:val="00AC473E"/>
    <w:rsid w:val="00AC5826"/>
    <w:rsid w:val="00AC5D71"/>
    <w:rsid w:val="00AC6A41"/>
    <w:rsid w:val="00AC6EF3"/>
    <w:rsid w:val="00AC6FB1"/>
    <w:rsid w:val="00AC7739"/>
    <w:rsid w:val="00AC7E44"/>
    <w:rsid w:val="00AD1FCE"/>
    <w:rsid w:val="00AD250B"/>
    <w:rsid w:val="00AD2EDD"/>
    <w:rsid w:val="00AD2F09"/>
    <w:rsid w:val="00AD30E7"/>
    <w:rsid w:val="00AD31F0"/>
    <w:rsid w:val="00AD469F"/>
    <w:rsid w:val="00AD50AD"/>
    <w:rsid w:val="00AD53D2"/>
    <w:rsid w:val="00AD54EF"/>
    <w:rsid w:val="00AD5D57"/>
    <w:rsid w:val="00AD624D"/>
    <w:rsid w:val="00AD6544"/>
    <w:rsid w:val="00AD74E6"/>
    <w:rsid w:val="00AE03EF"/>
    <w:rsid w:val="00AE0811"/>
    <w:rsid w:val="00AE0A79"/>
    <w:rsid w:val="00AE0E43"/>
    <w:rsid w:val="00AE0F30"/>
    <w:rsid w:val="00AE0FB8"/>
    <w:rsid w:val="00AE19E8"/>
    <w:rsid w:val="00AE1C10"/>
    <w:rsid w:val="00AE1E72"/>
    <w:rsid w:val="00AE22EC"/>
    <w:rsid w:val="00AE2895"/>
    <w:rsid w:val="00AE3E24"/>
    <w:rsid w:val="00AE49A8"/>
    <w:rsid w:val="00AE6241"/>
    <w:rsid w:val="00AE6955"/>
    <w:rsid w:val="00AE74A1"/>
    <w:rsid w:val="00AE776E"/>
    <w:rsid w:val="00AE7A2B"/>
    <w:rsid w:val="00AE7DB5"/>
    <w:rsid w:val="00AF121C"/>
    <w:rsid w:val="00AF1F30"/>
    <w:rsid w:val="00AF2FF8"/>
    <w:rsid w:val="00AF324E"/>
    <w:rsid w:val="00AF35D1"/>
    <w:rsid w:val="00AF3898"/>
    <w:rsid w:val="00AF5D33"/>
    <w:rsid w:val="00AF6543"/>
    <w:rsid w:val="00AF69D1"/>
    <w:rsid w:val="00AF725F"/>
    <w:rsid w:val="00AF74B9"/>
    <w:rsid w:val="00AF7D7F"/>
    <w:rsid w:val="00B00264"/>
    <w:rsid w:val="00B0059A"/>
    <w:rsid w:val="00B007C7"/>
    <w:rsid w:val="00B00843"/>
    <w:rsid w:val="00B00C69"/>
    <w:rsid w:val="00B0118F"/>
    <w:rsid w:val="00B029E2"/>
    <w:rsid w:val="00B02B8C"/>
    <w:rsid w:val="00B02E59"/>
    <w:rsid w:val="00B03631"/>
    <w:rsid w:val="00B038B0"/>
    <w:rsid w:val="00B04810"/>
    <w:rsid w:val="00B05390"/>
    <w:rsid w:val="00B05749"/>
    <w:rsid w:val="00B0589C"/>
    <w:rsid w:val="00B05E22"/>
    <w:rsid w:val="00B05F9B"/>
    <w:rsid w:val="00B06226"/>
    <w:rsid w:val="00B068CF"/>
    <w:rsid w:val="00B06A2D"/>
    <w:rsid w:val="00B06FD5"/>
    <w:rsid w:val="00B07652"/>
    <w:rsid w:val="00B07BDE"/>
    <w:rsid w:val="00B07D04"/>
    <w:rsid w:val="00B103A2"/>
    <w:rsid w:val="00B107AD"/>
    <w:rsid w:val="00B11118"/>
    <w:rsid w:val="00B11CEA"/>
    <w:rsid w:val="00B12669"/>
    <w:rsid w:val="00B1297B"/>
    <w:rsid w:val="00B12D9D"/>
    <w:rsid w:val="00B136C5"/>
    <w:rsid w:val="00B15087"/>
    <w:rsid w:val="00B151D6"/>
    <w:rsid w:val="00B15300"/>
    <w:rsid w:val="00B15CBF"/>
    <w:rsid w:val="00B16EB2"/>
    <w:rsid w:val="00B172A4"/>
    <w:rsid w:val="00B1751A"/>
    <w:rsid w:val="00B20078"/>
    <w:rsid w:val="00B205CF"/>
    <w:rsid w:val="00B20A3F"/>
    <w:rsid w:val="00B21218"/>
    <w:rsid w:val="00B21974"/>
    <w:rsid w:val="00B21D25"/>
    <w:rsid w:val="00B22211"/>
    <w:rsid w:val="00B22EF8"/>
    <w:rsid w:val="00B234DD"/>
    <w:rsid w:val="00B23840"/>
    <w:rsid w:val="00B244C6"/>
    <w:rsid w:val="00B24734"/>
    <w:rsid w:val="00B25735"/>
    <w:rsid w:val="00B25F3D"/>
    <w:rsid w:val="00B260FA"/>
    <w:rsid w:val="00B268BB"/>
    <w:rsid w:val="00B26EE6"/>
    <w:rsid w:val="00B27172"/>
    <w:rsid w:val="00B27955"/>
    <w:rsid w:val="00B3004F"/>
    <w:rsid w:val="00B3033C"/>
    <w:rsid w:val="00B30926"/>
    <w:rsid w:val="00B30955"/>
    <w:rsid w:val="00B316F7"/>
    <w:rsid w:val="00B31DE9"/>
    <w:rsid w:val="00B328F3"/>
    <w:rsid w:val="00B32E9B"/>
    <w:rsid w:val="00B335B4"/>
    <w:rsid w:val="00B336C3"/>
    <w:rsid w:val="00B3376E"/>
    <w:rsid w:val="00B33872"/>
    <w:rsid w:val="00B340F5"/>
    <w:rsid w:val="00B3491D"/>
    <w:rsid w:val="00B34DB2"/>
    <w:rsid w:val="00B3533F"/>
    <w:rsid w:val="00B35DDF"/>
    <w:rsid w:val="00B36921"/>
    <w:rsid w:val="00B36B20"/>
    <w:rsid w:val="00B36C67"/>
    <w:rsid w:val="00B36D7F"/>
    <w:rsid w:val="00B37092"/>
    <w:rsid w:val="00B37305"/>
    <w:rsid w:val="00B3737F"/>
    <w:rsid w:val="00B432C5"/>
    <w:rsid w:val="00B45721"/>
    <w:rsid w:val="00B45744"/>
    <w:rsid w:val="00B461C2"/>
    <w:rsid w:val="00B468C3"/>
    <w:rsid w:val="00B47379"/>
    <w:rsid w:val="00B47382"/>
    <w:rsid w:val="00B473E1"/>
    <w:rsid w:val="00B47507"/>
    <w:rsid w:val="00B47DDC"/>
    <w:rsid w:val="00B500FA"/>
    <w:rsid w:val="00B506F1"/>
    <w:rsid w:val="00B50B89"/>
    <w:rsid w:val="00B5157C"/>
    <w:rsid w:val="00B51FED"/>
    <w:rsid w:val="00B52AD9"/>
    <w:rsid w:val="00B52F2F"/>
    <w:rsid w:val="00B53261"/>
    <w:rsid w:val="00B5435C"/>
    <w:rsid w:val="00B5537B"/>
    <w:rsid w:val="00B5538A"/>
    <w:rsid w:val="00B56882"/>
    <w:rsid w:val="00B56FCE"/>
    <w:rsid w:val="00B579B6"/>
    <w:rsid w:val="00B57AD1"/>
    <w:rsid w:val="00B57B0E"/>
    <w:rsid w:val="00B605E0"/>
    <w:rsid w:val="00B61767"/>
    <w:rsid w:val="00B626C1"/>
    <w:rsid w:val="00B62C0E"/>
    <w:rsid w:val="00B62C24"/>
    <w:rsid w:val="00B63566"/>
    <w:rsid w:val="00B63DAF"/>
    <w:rsid w:val="00B64049"/>
    <w:rsid w:val="00B64244"/>
    <w:rsid w:val="00B644DE"/>
    <w:rsid w:val="00B64A3C"/>
    <w:rsid w:val="00B64AFB"/>
    <w:rsid w:val="00B653FF"/>
    <w:rsid w:val="00B66883"/>
    <w:rsid w:val="00B670B3"/>
    <w:rsid w:val="00B67B44"/>
    <w:rsid w:val="00B67EBB"/>
    <w:rsid w:val="00B7043D"/>
    <w:rsid w:val="00B70A8C"/>
    <w:rsid w:val="00B70BB6"/>
    <w:rsid w:val="00B71D2D"/>
    <w:rsid w:val="00B71F14"/>
    <w:rsid w:val="00B730AD"/>
    <w:rsid w:val="00B73198"/>
    <w:rsid w:val="00B73243"/>
    <w:rsid w:val="00B73B61"/>
    <w:rsid w:val="00B73C9B"/>
    <w:rsid w:val="00B74F90"/>
    <w:rsid w:val="00B75A99"/>
    <w:rsid w:val="00B76A44"/>
    <w:rsid w:val="00B77C5B"/>
    <w:rsid w:val="00B77DC6"/>
    <w:rsid w:val="00B77F61"/>
    <w:rsid w:val="00B808C6"/>
    <w:rsid w:val="00B80A06"/>
    <w:rsid w:val="00B80BA0"/>
    <w:rsid w:val="00B80D43"/>
    <w:rsid w:val="00B80E16"/>
    <w:rsid w:val="00B816BE"/>
    <w:rsid w:val="00B81BC5"/>
    <w:rsid w:val="00B82883"/>
    <w:rsid w:val="00B829BC"/>
    <w:rsid w:val="00B83105"/>
    <w:rsid w:val="00B83487"/>
    <w:rsid w:val="00B851A1"/>
    <w:rsid w:val="00B85EB6"/>
    <w:rsid w:val="00B86124"/>
    <w:rsid w:val="00B8620D"/>
    <w:rsid w:val="00B8763E"/>
    <w:rsid w:val="00B8788F"/>
    <w:rsid w:val="00B87EEB"/>
    <w:rsid w:val="00B902E9"/>
    <w:rsid w:val="00B9047A"/>
    <w:rsid w:val="00B90E96"/>
    <w:rsid w:val="00B90F69"/>
    <w:rsid w:val="00B91567"/>
    <w:rsid w:val="00B91ABE"/>
    <w:rsid w:val="00B92212"/>
    <w:rsid w:val="00B92665"/>
    <w:rsid w:val="00B9274A"/>
    <w:rsid w:val="00B932B8"/>
    <w:rsid w:val="00B93522"/>
    <w:rsid w:val="00B93723"/>
    <w:rsid w:val="00B93790"/>
    <w:rsid w:val="00B939A4"/>
    <w:rsid w:val="00B947E4"/>
    <w:rsid w:val="00B94A72"/>
    <w:rsid w:val="00B95A18"/>
    <w:rsid w:val="00B95A73"/>
    <w:rsid w:val="00B96170"/>
    <w:rsid w:val="00B96D51"/>
    <w:rsid w:val="00B97991"/>
    <w:rsid w:val="00BA0199"/>
    <w:rsid w:val="00BA0981"/>
    <w:rsid w:val="00BA0F54"/>
    <w:rsid w:val="00BA16D5"/>
    <w:rsid w:val="00BA1B72"/>
    <w:rsid w:val="00BA23AB"/>
    <w:rsid w:val="00BA3289"/>
    <w:rsid w:val="00BA40C5"/>
    <w:rsid w:val="00BA4281"/>
    <w:rsid w:val="00BA4D2A"/>
    <w:rsid w:val="00BA603F"/>
    <w:rsid w:val="00BA6A9A"/>
    <w:rsid w:val="00BA74E9"/>
    <w:rsid w:val="00BA7715"/>
    <w:rsid w:val="00BB0844"/>
    <w:rsid w:val="00BB1806"/>
    <w:rsid w:val="00BB27C0"/>
    <w:rsid w:val="00BB35B4"/>
    <w:rsid w:val="00BB378D"/>
    <w:rsid w:val="00BB53DB"/>
    <w:rsid w:val="00BB6682"/>
    <w:rsid w:val="00BB66D5"/>
    <w:rsid w:val="00BB67C5"/>
    <w:rsid w:val="00BB6DA6"/>
    <w:rsid w:val="00BB7730"/>
    <w:rsid w:val="00BC03E1"/>
    <w:rsid w:val="00BC044C"/>
    <w:rsid w:val="00BC06D7"/>
    <w:rsid w:val="00BC199D"/>
    <w:rsid w:val="00BC1CE2"/>
    <w:rsid w:val="00BC260C"/>
    <w:rsid w:val="00BC2EC8"/>
    <w:rsid w:val="00BC51A5"/>
    <w:rsid w:val="00BC526F"/>
    <w:rsid w:val="00BC52FA"/>
    <w:rsid w:val="00BC5D4D"/>
    <w:rsid w:val="00BC6CB2"/>
    <w:rsid w:val="00BC6D81"/>
    <w:rsid w:val="00BC6EE0"/>
    <w:rsid w:val="00BC713D"/>
    <w:rsid w:val="00BC7CE3"/>
    <w:rsid w:val="00BD04E6"/>
    <w:rsid w:val="00BD054F"/>
    <w:rsid w:val="00BD1173"/>
    <w:rsid w:val="00BD1CFE"/>
    <w:rsid w:val="00BD2213"/>
    <w:rsid w:val="00BD286A"/>
    <w:rsid w:val="00BD295B"/>
    <w:rsid w:val="00BD2A55"/>
    <w:rsid w:val="00BD3292"/>
    <w:rsid w:val="00BD4EB4"/>
    <w:rsid w:val="00BD5134"/>
    <w:rsid w:val="00BD53F6"/>
    <w:rsid w:val="00BD5BDB"/>
    <w:rsid w:val="00BD699E"/>
    <w:rsid w:val="00BD6BE3"/>
    <w:rsid w:val="00BD6C19"/>
    <w:rsid w:val="00BD7F57"/>
    <w:rsid w:val="00BE0123"/>
    <w:rsid w:val="00BE05E6"/>
    <w:rsid w:val="00BE0A07"/>
    <w:rsid w:val="00BE0E59"/>
    <w:rsid w:val="00BE10C9"/>
    <w:rsid w:val="00BE14A9"/>
    <w:rsid w:val="00BE19EA"/>
    <w:rsid w:val="00BE2E68"/>
    <w:rsid w:val="00BE3097"/>
    <w:rsid w:val="00BE361D"/>
    <w:rsid w:val="00BE3884"/>
    <w:rsid w:val="00BE3BAB"/>
    <w:rsid w:val="00BE3DBD"/>
    <w:rsid w:val="00BE4234"/>
    <w:rsid w:val="00BE4517"/>
    <w:rsid w:val="00BE58E9"/>
    <w:rsid w:val="00BE59BD"/>
    <w:rsid w:val="00BE608E"/>
    <w:rsid w:val="00BE649A"/>
    <w:rsid w:val="00BF2BD5"/>
    <w:rsid w:val="00BF301D"/>
    <w:rsid w:val="00BF31AF"/>
    <w:rsid w:val="00BF3B14"/>
    <w:rsid w:val="00BF44FB"/>
    <w:rsid w:val="00BF4516"/>
    <w:rsid w:val="00BF586D"/>
    <w:rsid w:val="00BF621A"/>
    <w:rsid w:val="00BF69AF"/>
    <w:rsid w:val="00BF6CD7"/>
    <w:rsid w:val="00BF70EB"/>
    <w:rsid w:val="00C01863"/>
    <w:rsid w:val="00C01BDB"/>
    <w:rsid w:val="00C024C9"/>
    <w:rsid w:val="00C0405B"/>
    <w:rsid w:val="00C0474C"/>
    <w:rsid w:val="00C04C5B"/>
    <w:rsid w:val="00C04F09"/>
    <w:rsid w:val="00C06112"/>
    <w:rsid w:val="00C06BAE"/>
    <w:rsid w:val="00C07F75"/>
    <w:rsid w:val="00C1106E"/>
    <w:rsid w:val="00C120CF"/>
    <w:rsid w:val="00C132DD"/>
    <w:rsid w:val="00C142EF"/>
    <w:rsid w:val="00C143CA"/>
    <w:rsid w:val="00C14501"/>
    <w:rsid w:val="00C146DA"/>
    <w:rsid w:val="00C14968"/>
    <w:rsid w:val="00C14C10"/>
    <w:rsid w:val="00C1509A"/>
    <w:rsid w:val="00C150CF"/>
    <w:rsid w:val="00C157B1"/>
    <w:rsid w:val="00C16067"/>
    <w:rsid w:val="00C161F8"/>
    <w:rsid w:val="00C165CA"/>
    <w:rsid w:val="00C1674B"/>
    <w:rsid w:val="00C171BB"/>
    <w:rsid w:val="00C17920"/>
    <w:rsid w:val="00C17FC1"/>
    <w:rsid w:val="00C20146"/>
    <w:rsid w:val="00C2153A"/>
    <w:rsid w:val="00C21AC0"/>
    <w:rsid w:val="00C21EE1"/>
    <w:rsid w:val="00C22AB1"/>
    <w:rsid w:val="00C241E7"/>
    <w:rsid w:val="00C24EE0"/>
    <w:rsid w:val="00C2519E"/>
    <w:rsid w:val="00C25CDE"/>
    <w:rsid w:val="00C26774"/>
    <w:rsid w:val="00C268BA"/>
    <w:rsid w:val="00C26FCB"/>
    <w:rsid w:val="00C309B1"/>
    <w:rsid w:val="00C30AE0"/>
    <w:rsid w:val="00C30FD6"/>
    <w:rsid w:val="00C31969"/>
    <w:rsid w:val="00C323CF"/>
    <w:rsid w:val="00C32543"/>
    <w:rsid w:val="00C330A4"/>
    <w:rsid w:val="00C332FB"/>
    <w:rsid w:val="00C333FF"/>
    <w:rsid w:val="00C33CDB"/>
    <w:rsid w:val="00C33E54"/>
    <w:rsid w:val="00C3418C"/>
    <w:rsid w:val="00C34558"/>
    <w:rsid w:val="00C34B65"/>
    <w:rsid w:val="00C3502D"/>
    <w:rsid w:val="00C35789"/>
    <w:rsid w:val="00C36FC0"/>
    <w:rsid w:val="00C37784"/>
    <w:rsid w:val="00C37A47"/>
    <w:rsid w:val="00C4036D"/>
    <w:rsid w:val="00C413FB"/>
    <w:rsid w:val="00C419B7"/>
    <w:rsid w:val="00C421E4"/>
    <w:rsid w:val="00C4281F"/>
    <w:rsid w:val="00C42C82"/>
    <w:rsid w:val="00C42F91"/>
    <w:rsid w:val="00C44B9A"/>
    <w:rsid w:val="00C44FCF"/>
    <w:rsid w:val="00C45214"/>
    <w:rsid w:val="00C45AA4"/>
    <w:rsid w:val="00C45B5E"/>
    <w:rsid w:val="00C464A4"/>
    <w:rsid w:val="00C469C4"/>
    <w:rsid w:val="00C47040"/>
    <w:rsid w:val="00C470D9"/>
    <w:rsid w:val="00C472E3"/>
    <w:rsid w:val="00C47A89"/>
    <w:rsid w:val="00C47B59"/>
    <w:rsid w:val="00C47BAA"/>
    <w:rsid w:val="00C47EB1"/>
    <w:rsid w:val="00C5146B"/>
    <w:rsid w:val="00C5164F"/>
    <w:rsid w:val="00C51D28"/>
    <w:rsid w:val="00C51EF4"/>
    <w:rsid w:val="00C51FE1"/>
    <w:rsid w:val="00C5269A"/>
    <w:rsid w:val="00C53C7D"/>
    <w:rsid w:val="00C53F3B"/>
    <w:rsid w:val="00C5612A"/>
    <w:rsid w:val="00C56FA3"/>
    <w:rsid w:val="00C578C3"/>
    <w:rsid w:val="00C57B0E"/>
    <w:rsid w:val="00C601FF"/>
    <w:rsid w:val="00C608A2"/>
    <w:rsid w:val="00C60DBA"/>
    <w:rsid w:val="00C61D8C"/>
    <w:rsid w:val="00C61E9B"/>
    <w:rsid w:val="00C61F51"/>
    <w:rsid w:val="00C62A1F"/>
    <w:rsid w:val="00C62AFA"/>
    <w:rsid w:val="00C63AE7"/>
    <w:rsid w:val="00C63E27"/>
    <w:rsid w:val="00C6403F"/>
    <w:rsid w:val="00C64C6E"/>
    <w:rsid w:val="00C65721"/>
    <w:rsid w:val="00C671CB"/>
    <w:rsid w:val="00C677D4"/>
    <w:rsid w:val="00C67C7E"/>
    <w:rsid w:val="00C67F69"/>
    <w:rsid w:val="00C701F9"/>
    <w:rsid w:val="00C70244"/>
    <w:rsid w:val="00C70307"/>
    <w:rsid w:val="00C703E4"/>
    <w:rsid w:val="00C70C46"/>
    <w:rsid w:val="00C70D65"/>
    <w:rsid w:val="00C70E39"/>
    <w:rsid w:val="00C718BC"/>
    <w:rsid w:val="00C7282E"/>
    <w:rsid w:val="00C72A90"/>
    <w:rsid w:val="00C74459"/>
    <w:rsid w:val="00C74601"/>
    <w:rsid w:val="00C75078"/>
    <w:rsid w:val="00C7564D"/>
    <w:rsid w:val="00C75734"/>
    <w:rsid w:val="00C75A5D"/>
    <w:rsid w:val="00C75CE3"/>
    <w:rsid w:val="00C76364"/>
    <w:rsid w:val="00C7684A"/>
    <w:rsid w:val="00C77229"/>
    <w:rsid w:val="00C774E6"/>
    <w:rsid w:val="00C77543"/>
    <w:rsid w:val="00C778CD"/>
    <w:rsid w:val="00C806F7"/>
    <w:rsid w:val="00C80896"/>
    <w:rsid w:val="00C80A44"/>
    <w:rsid w:val="00C80B61"/>
    <w:rsid w:val="00C80D03"/>
    <w:rsid w:val="00C81835"/>
    <w:rsid w:val="00C83E64"/>
    <w:rsid w:val="00C841C8"/>
    <w:rsid w:val="00C842CB"/>
    <w:rsid w:val="00C84A98"/>
    <w:rsid w:val="00C856CC"/>
    <w:rsid w:val="00C862ED"/>
    <w:rsid w:val="00C86887"/>
    <w:rsid w:val="00C86E0C"/>
    <w:rsid w:val="00C916A8"/>
    <w:rsid w:val="00C91BF8"/>
    <w:rsid w:val="00C91EBC"/>
    <w:rsid w:val="00C920D4"/>
    <w:rsid w:val="00C9226B"/>
    <w:rsid w:val="00C92777"/>
    <w:rsid w:val="00C936C8"/>
    <w:rsid w:val="00C94A71"/>
    <w:rsid w:val="00C94EBC"/>
    <w:rsid w:val="00C95498"/>
    <w:rsid w:val="00C95BFB"/>
    <w:rsid w:val="00C96323"/>
    <w:rsid w:val="00C96610"/>
    <w:rsid w:val="00C971B8"/>
    <w:rsid w:val="00CA0F54"/>
    <w:rsid w:val="00CA14FD"/>
    <w:rsid w:val="00CA1618"/>
    <w:rsid w:val="00CA17A4"/>
    <w:rsid w:val="00CA1933"/>
    <w:rsid w:val="00CA1C81"/>
    <w:rsid w:val="00CA1C9C"/>
    <w:rsid w:val="00CA2526"/>
    <w:rsid w:val="00CA2CE1"/>
    <w:rsid w:val="00CA35CD"/>
    <w:rsid w:val="00CA3618"/>
    <w:rsid w:val="00CA3B4E"/>
    <w:rsid w:val="00CA469E"/>
    <w:rsid w:val="00CA4B91"/>
    <w:rsid w:val="00CA5394"/>
    <w:rsid w:val="00CA555A"/>
    <w:rsid w:val="00CA5DC4"/>
    <w:rsid w:val="00CA5E57"/>
    <w:rsid w:val="00CA61EF"/>
    <w:rsid w:val="00CA6819"/>
    <w:rsid w:val="00CA68A3"/>
    <w:rsid w:val="00CA6EA5"/>
    <w:rsid w:val="00CA7977"/>
    <w:rsid w:val="00CA7BB0"/>
    <w:rsid w:val="00CB13E7"/>
    <w:rsid w:val="00CB1800"/>
    <w:rsid w:val="00CB1CC5"/>
    <w:rsid w:val="00CB3428"/>
    <w:rsid w:val="00CB3B34"/>
    <w:rsid w:val="00CB3CD5"/>
    <w:rsid w:val="00CB4481"/>
    <w:rsid w:val="00CB4535"/>
    <w:rsid w:val="00CB520B"/>
    <w:rsid w:val="00CB531C"/>
    <w:rsid w:val="00CB5FE0"/>
    <w:rsid w:val="00CB60E2"/>
    <w:rsid w:val="00CB6578"/>
    <w:rsid w:val="00CB6E33"/>
    <w:rsid w:val="00CB76A4"/>
    <w:rsid w:val="00CB7DEB"/>
    <w:rsid w:val="00CC0219"/>
    <w:rsid w:val="00CC053C"/>
    <w:rsid w:val="00CC0DA7"/>
    <w:rsid w:val="00CC1092"/>
    <w:rsid w:val="00CC1605"/>
    <w:rsid w:val="00CC17FC"/>
    <w:rsid w:val="00CC1D48"/>
    <w:rsid w:val="00CC2514"/>
    <w:rsid w:val="00CC25E3"/>
    <w:rsid w:val="00CC2D05"/>
    <w:rsid w:val="00CC35C5"/>
    <w:rsid w:val="00CC37A8"/>
    <w:rsid w:val="00CC43DF"/>
    <w:rsid w:val="00CC5A1F"/>
    <w:rsid w:val="00CC5AE9"/>
    <w:rsid w:val="00CC6B6A"/>
    <w:rsid w:val="00CC73B4"/>
    <w:rsid w:val="00CC742A"/>
    <w:rsid w:val="00CC7760"/>
    <w:rsid w:val="00CC7C29"/>
    <w:rsid w:val="00CD071D"/>
    <w:rsid w:val="00CD1168"/>
    <w:rsid w:val="00CD143E"/>
    <w:rsid w:val="00CD1B91"/>
    <w:rsid w:val="00CD1F47"/>
    <w:rsid w:val="00CD2869"/>
    <w:rsid w:val="00CD2C74"/>
    <w:rsid w:val="00CD2EED"/>
    <w:rsid w:val="00CD3048"/>
    <w:rsid w:val="00CD3187"/>
    <w:rsid w:val="00CD318B"/>
    <w:rsid w:val="00CD36DE"/>
    <w:rsid w:val="00CD4611"/>
    <w:rsid w:val="00CD5060"/>
    <w:rsid w:val="00CD5525"/>
    <w:rsid w:val="00CD5746"/>
    <w:rsid w:val="00CD5984"/>
    <w:rsid w:val="00CD5EDB"/>
    <w:rsid w:val="00CD647F"/>
    <w:rsid w:val="00CD6E22"/>
    <w:rsid w:val="00CD6E68"/>
    <w:rsid w:val="00CD74D3"/>
    <w:rsid w:val="00CD7723"/>
    <w:rsid w:val="00CE03E9"/>
    <w:rsid w:val="00CE04A1"/>
    <w:rsid w:val="00CE080F"/>
    <w:rsid w:val="00CE08D5"/>
    <w:rsid w:val="00CE0D8D"/>
    <w:rsid w:val="00CE1104"/>
    <w:rsid w:val="00CE21CB"/>
    <w:rsid w:val="00CE228F"/>
    <w:rsid w:val="00CE376C"/>
    <w:rsid w:val="00CE4083"/>
    <w:rsid w:val="00CE42DA"/>
    <w:rsid w:val="00CE4570"/>
    <w:rsid w:val="00CE4C73"/>
    <w:rsid w:val="00CE4C86"/>
    <w:rsid w:val="00CE4DDC"/>
    <w:rsid w:val="00CE587E"/>
    <w:rsid w:val="00CE5CD1"/>
    <w:rsid w:val="00CE62BF"/>
    <w:rsid w:val="00CE6781"/>
    <w:rsid w:val="00CE6B44"/>
    <w:rsid w:val="00CE764B"/>
    <w:rsid w:val="00CF0264"/>
    <w:rsid w:val="00CF07FC"/>
    <w:rsid w:val="00CF099B"/>
    <w:rsid w:val="00CF1922"/>
    <w:rsid w:val="00CF1A9F"/>
    <w:rsid w:val="00CF2BBB"/>
    <w:rsid w:val="00CF3244"/>
    <w:rsid w:val="00CF3421"/>
    <w:rsid w:val="00CF39E9"/>
    <w:rsid w:val="00CF3AE4"/>
    <w:rsid w:val="00CF4B55"/>
    <w:rsid w:val="00CF4B5A"/>
    <w:rsid w:val="00CF58D3"/>
    <w:rsid w:val="00CF66EE"/>
    <w:rsid w:val="00CF676C"/>
    <w:rsid w:val="00CF6AA3"/>
    <w:rsid w:val="00CF797C"/>
    <w:rsid w:val="00CF7B90"/>
    <w:rsid w:val="00D00D0F"/>
    <w:rsid w:val="00D00FF7"/>
    <w:rsid w:val="00D01BC7"/>
    <w:rsid w:val="00D0389E"/>
    <w:rsid w:val="00D03C40"/>
    <w:rsid w:val="00D042A3"/>
    <w:rsid w:val="00D0547D"/>
    <w:rsid w:val="00D0569F"/>
    <w:rsid w:val="00D05746"/>
    <w:rsid w:val="00D06F18"/>
    <w:rsid w:val="00D07013"/>
    <w:rsid w:val="00D0767F"/>
    <w:rsid w:val="00D07771"/>
    <w:rsid w:val="00D10CA1"/>
    <w:rsid w:val="00D1173A"/>
    <w:rsid w:val="00D12764"/>
    <w:rsid w:val="00D13129"/>
    <w:rsid w:val="00D1316F"/>
    <w:rsid w:val="00D13A70"/>
    <w:rsid w:val="00D13AAF"/>
    <w:rsid w:val="00D144D9"/>
    <w:rsid w:val="00D145EF"/>
    <w:rsid w:val="00D16E65"/>
    <w:rsid w:val="00D17479"/>
    <w:rsid w:val="00D21330"/>
    <w:rsid w:val="00D21AC0"/>
    <w:rsid w:val="00D2212A"/>
    <w:rsid w:val="00D22B81"/>
    <w:rsid w:val="00D25BD8"/>
    <w:rsid w:val="00D266F9"/>
    <w:rsid w:val="00D269FB"/>
    <w:rsid w:val="00D27883"/>
    <w:rsid w:val="00D27C53"/>
    <w:rsid w:val="00D303BB"/>
    <w:rsid w:val="00D3050C"/>
    <w:rsid w:val="00D30839"/>
    <w:rsid w:val="00D30A9C"/>
    <w:rsid w:val="00D31CDB"/>
    <w:rsid w:val="00D32E26"/>
    <w:rsid w:val="00D35127"/>
    <w:rsid w:val="00D351E1"/>
    <w:rsid w:val="00D359BD"/>
    <w:rsid w:val="00D36162"/>
    <w:rsid w:val="00D36DFF"/>
    <w:rsid w:val="00D36F3C"/>
    <w:rsid w:val="00D36FE6"/>
    <w:rsid w:val="00D37804"/>
    <w:rsid w:val="00D40002"/>
    <w:rsid w:val="00D40527"/>
    <w:rsid w:val="00D4126F"/>
    <w:rsid w:val="00D41871"/>
    <w:rsid w:val="00D419A6"/>
    <w:rsid w:val="00D41AC7"/>
    <w:rsid w:val="00D41D04"/>
    <w:rsid w:val="00D425F9"/>
    <w:rsid w:val="00D42724"/>
    <w:rsid w:val="00D43A17"/>
    <w:rsid w:val="00D43C20"/>
    <w:rsid w:val="00D448EC"/>
    <w:rsid w:val="00D44D39"/>
    <w:rsid w:val="00D467AF"/>
    <w:rsid w:val="00D468BC"/>
    <w:rsid w:val="00D4740B"/>
    <w:rsid w:val="00D47A06"/>
    <w:rsid w:val="00D5056C"/>
    <w:rsid w:val="00D51306"/>
    <w:rsid w:val="00D51B92"/>
    <w:rsid w:val="00D52A9C"/>
    <w:rsid w:val="00D532AF"/>
    <w:rsid w:val="00D535F1"/>
    <w:rsid w:val="00D53746"/>
    <w:rsid w:val="00D53E80"/>
    <w:rsid w:val="00D5642D"/>
    <w:rsid w:val="00D568F7"/>
    <w:rsid w:val="00D56E21"/>
    <w:rsid w:val="00D575C5"/>
    <w:rsid w:val="00D577B0"/>
    <w:rsid w:val="00D600A7"/>
    <w:rsid w:val="00D60808"/>
    <w:rsid w:val="00D60F41"/>
    <w:rsid w:val="00D61245"/>
    <w:rsid w:val="00D629D5"/>
    <w:rsid w:val="00D62E82"/>
    <w:rsid w:val="00D6322D"/>
    <w:rsid w:val="00D65FDE"/>
    <w:rsid w:val="00D66172"/>
    <w:rsid w:val="00D66E8E"/>
    <w:rsid w:val="00D675EC"/>
    <w:rsid w:val="00D67813"/>
    <w:rsid w:val="00D7023A"/>
    <w:rsid w:val="00D70A44"/>
    <w:rsid w:val="00D70DEF"/>
    <w:rsid w:val="00D729FD"/>
    <w:rsid w:val="00D739A2"/>
    <w:rsid w:val="00D73D9C"/>
    <w:rsid w:val="00D7426E"/>
    <w:rsid w:val="00D74659"/>
    <w:rsid w:val="00D7473F"/>
    <w:rsid w:val="00D748AD"/>
    <w:rsid w:val="00D74B3A"/>
    <w:rsid w:val="00D74F32"/>
    <w:rsid w:val="00D75041"/>
    <w:rsid w:val="00D75D9D"/>
    <w:rsid w:val="00D760C2"/>
    <w:rsid w:val="00D76D0D"/>
    <w:rsid w:val="00D76E46"/>
    <w:rsid w:val="00D77EF0"/>
    <w:rsid w:val="00D77EF5"/>
    <w:rsid w:val="00D800AC"/>
    <w:rsid w:val="00D806F2"/>
    <w:rsid w:val="00D80BCE"/>
    <w:rsid w:val="00D80D90"/>
    <w:rsid w:val="00D81122"/>
    <w:rsid w:val="00D8152D"/>
    <w:rsid w:val="00D819C0"/>
    <w:rsid w:val="00D81D3A"/>
    <w:rsid w:val="00D81F2E"/>
    <w:rsid w:val="00D820D7"/>
    <w:rsid w:val="00D825C1"/>
    <w:rsid w:val="00D82931"/>
    <w:rsid w:val="00D836AB"/>
    <w:rsid w:val="00D83D08"/>
    <w:rsid w:val="00D8424D"/>
    <w:rsid w:val="00D846B6"/>
    <w:rsid w:val="00D84A3D"/>
    <w:rsid w:val="00D84D26"/>
    <w:rsid w:val="00D871CB"/>
    <w:rsid w:val="00D8720A"/>
    <w:rsid w:val="00D87A0D"/>
    <w:rsid w:val="00D87E35"/>
    <w:rsid w:val="00D87F07"/>
    <w:rsid w:val="00D90433"/>
    <w:rsid w:val="00D90B96"/>
    <w:rsid w:val="00D90C34"/>
    <w:rsid w:val="00D90EC5"/>
    <w:rsid w:val="00D91982"/>
    <w:rsid w:val="00D91ECF"/>
    <w:rsid w:val="00D92ED7"/>
    <w:rsid w:val="00D932CC"/>
    <w:rsid w:val="00D93426"/>
    <w:rsid w:val="00D94D39"/>
    <w:rsid w:val="00D94FDD"/>
    <w:rsid w:val="00D9557C"/>
    <w:rsid w:val="00D95581"/>
    <w:rsid w:val="00D96160"/>
    <w:rsid w:val="00D9648F"/>
    <w:rsid w:val="00D96DD3"/>
    <w:rsid w:val="00D9709B"/>
    <w:rsid w:val="00D970B5"/>
    <w:rsid w:val="00DA0681"/>
    <w:rsid w:val="00DA2483"/>
    <w:rsid w:val="00DA2686"/>
    <w:rsid w:val="00DA31F7"/>
    <w:rsid w:val="00DA33C5"/>
    <w:rsid w:val="00DA416C"/>
    <w:rsid w:val="00DA66FE"/>
    <w:rsid w:val="00DA6BFD"/>
    <w:rsid w:val="00DA7044"/>
    <w:rsid w:val="00DA7A7D"/>
    <w:rsid w:val="00DA7DD4"/>
    <w:rsid w:val="00DB01B1"/>
    <w:rsid w:val="00DB0737"/>
    <w:rsid w:val="00DB0E80"/>
    <w:rsid w:val="00DB0FCF"/>
    <w:rsid w:val="00DB117E"/>
    <w:rsid w:val="00DB136B"/>
    <w:rsid w:val="00DB2635"/>
    <w:rsid w:val="00DB2F46"/>
    <w:rsid w:val="00DB3303"/>
    <w:rsid w:val="00DB570E"/>
    <w:rsid w:val="00DB5C22"/>
    <w:rsid w:val="00DB7D64"/>
    <w:rsid w:val="00DC09AF"/>
    <w:rsid w:val="00DC0CA7"/>
    <w:rsid w:val="00DC0D11"/>
    <w:rsid w:val="00DC0D3A"/>
    <w:rsid w:val="00DC0F51"/>
    <w:rsid w:val="00DC1A0C"/>
    <w:rsid w:val="00DC225C"/>
    <w:rsid w:val="00DC344C"/>
    <w:rsid w:val="00DC420B"/>
    <w:rsid w:val="00DC4329"/>
    <w:rsid w:val="00DC5210"/>
    <w:rsid w:val="00DC5C9C"/>
    <w:rsid w:val="00DC70B3"/>
    <w:rsid w:val="00DC73DA"/>
    <w:rsid w:val="00DD008B"/>
    <w:rsid w:val="00DD06BE"/>
    <w:rsid w:val="00DD1259"/>
    <w:rsid w:val="00DD175B"/>
    <w:rsid w:val="00DD17BA"/>
    <w:rsid w:val="00DD1994"/>
    <w:rsid w:val="00DD1DD1"/>
    <w:rsid w:val="00DD2131"/>
    <w:rsid w:val="00DD2616"/>
    <w:rsid w:val="00DD2C1A"/>
    <w:rsid w:val="00DD2C38"/>
    <w:rsid w:val="00DD2E9B"/>
    <w:rsid w:val="00DD3D54"/>
    <w:rsid w:val="00DD4648"/>
    <w:rsid w:val="00DD481F"/>
    <w:rsid w:val="00DD4E32"/>
    <w:rsid w:val="00DD4EAE"/>
    <w:rsid w:val="00DD58D8"/>
    <w:rsid w:val="00DD5EB2"/>
    <w:rsid w:val="00DD6CCE"/>
    <w:rsid w:val="00DD781D"/>
    <w:rsid w:val="00DE002D"/>
    <w:rsid w:val="00DE13AB"/>
    <w:rsid w:val="00DE2149"/>
    <w:rsid w:val="00DE30F6"/>
    <w:rsid w:val="00DE328E"/>
    <w:rsid w:val="00DE389F"/>
    <w:rsid w:val="00DE3A92"/>
    <w:rsid w:val="00DE3D4B"/>
    <w:rsid w:val="00DE434F"/>
    <w:rsid w:val="00DE43E9"/>
    <w:rsid w:val="00DE50E8"/>
    <w:rsid w:val="00DE5A1D"/>
    <w:rsid w:val="00DE5B8A"/>
    <w:rsid w:val="00DE5DA5"/>
    <w:rsid w:val="00DE6020"/>
    <w:rsid w:val="00DE6395"/>
    <w:rsid w:val="00DE77C7"/>
    <w:rsid w:val="00DE7C13"/>
    <w:rsid w:val="00DE7C3C"/>
    <w:rsid w:val="00DF042B"/>
    <w:rsid w:val="00DF0540"/>
    <w:rsid w:val="00DF1834"/>
    <w:rsid w:val="00DF1B59"/>
    <w:rsid w:val="00DF21D9"/>
    <w:rsid w:val="00DF273A"/>
    <w:rsid w:val="00DF2F05"/>
    <w:rsid w:val="00DF2FE2"/>
    <w:rsid w:val="00DF35DF"/>
    <w:rsid w:val="00DF3831"/>
    <w:rsid w:val="00DF4357"/>
    <w:rsid w:val="00DF4ACE"/>
    <w:rsid w:val="00DF4FC5"/>
    <w:rsid w:val="00DF5550"/>
    <w:rsid w:val="00DF6024"/>
    <w:rsid w:val="00DF67CF"/>
    <w:rsid w:val="00DF6DA6"/>
    <w:rsid w:val="00DF7697"/>
    <w:rsid w:val="00DF7ED6"/>
    <w:rsid w:val="00DF7F31"/>
    <w:rsid w:val="00E003CE"/>
    <w:rsid w:val="00E00B80"/>
    <w:rsid w:val="00E0255B"/>
    <w:rsid w:val="00E03720"/>
    <w:rsid w:val="00E03FE7"/>
    <w:rsid w:val="00E05599"/>
    <w:rsid w:val="00E05C5D"/>
    <w:rsid w:val="00E0666A"/>
    <w:rsid w:val="00E06964"/>
    <w:rsid w:val="00E0761B"/>
    <w:rsid w:val="00E10D09"/>
    <w:rsid w:val="00E10D6E"/>
    <w:rsid w:val="00E10EF6"/>
    <w:rsid w:val="00E11036"/>
    <w:rsid w:val="00E11406"/>
    <w:rsid w:val="00E11493"/>
    <w:rsid w:val="00E11BD2"/>
    <w:rsid w:val="00E11EE7"/>
    <w:rsid w:val="00E11F98"/>
    <w:rsid w:val="00E1245E"/>
    <w:rsid w:val="00E12814"/>
    <w:rsid w:val="00E13358"/>
    <w:rsid w:val="00E13C9F"/>
    <w:rsid w:val="00E13FC9"/>
    <w:rsid w:val="00E144BA"/>
    <w:rsid w:val="00E144DC"/>
    <w:rsid w:val="00E15408"/>
    <w:rsid w:val="00E16679"/>
    <w:rsid w:val="00E16BB9"/>
    <w:rsid w:val="00E1745F"/>
    <w:rsid w:val="00E17774"/>
    <w:rsid w:val="00E20304"/>
    <w:rsid w:val="00E2031A"/>
    <w:rsid w:val="00E20611"/>
    <w:rsid w:val="00E21973"/>
    <w:rsid w:val="00E220EA"/>
    <w:rsid w:val="00E224CB"/>
    <w:rsid w:val="00E22F9A"/>
    <w:rsid w:val="00E2366F"/>
    <w:rsid w:val="00E23838"/>
    <w:rsid w:val="00E251B8"/>
    <w:rsid w:val="00E25C02"/>
    <w:rsid w:val="00E25C58"/>
    <w:rsid w:val="00E26A6A"/>
    <w:rsid w:val="00E27908"/>
    <w:rsid w:val="00E27ED2"/>
    <w:rsid w:val="00E30755"/>
    <w:rsid w:val="00E30F92"/>
    <w:rsid w:val="00E312CF"/>
    <w:rsid w:val="00E314CB"/>
    <w:rsid w:val="00E31998"/>
    <w:rsid w:val="00E31E10"/>
    <w:rsid w:val="00E31F4F"/>
    <w:rsid w:val="00E329E7"/>
    <w:rsid w:val="00E32BF2"/>
    <w:rsid w:val="00E32E2E"/>
    <w:rsid w:val="00E331C7"/>
    <w:rsid w:val="00E33761"/>
    <w:rsid w:val="00E339B0"/>
    <w:rsid w:val="00E3516A"/>
    <w:rsid w:val="00E354DD"/>
    <w:rsid w:val="00E35534"/>
    <w:rsid w:val="00E36796"/>
    <w:rsid w:val="00E3696E"/>
    <w:rsid w:val="00E36BA7"/>
    <w:rsid w:val="00E36E95"/>
    <w:rsid w:val="00E374E3"/>
    <w:rsid w:val="00E3779B"/>
    <w:rsid w:val="00E378AB"/>
    <w:rsid w:val="00E379A3"/>
    <w:rsid w:val="00E37DA2"/>
    <w:rsid w:val="00E40424"/>
    <w:rsid w:val="00E40AA1"/>
    <w:rsid w:val="00E40AFB"/>
    <w:rsid w:val="00E412BD"/>
    <w:rsid w:val="00E459BB"/>
    <w:rsid w:val="00E45A22"/>
    <w:rsid w:val="00E463FC"/>
    <w:rsid w:val="00E46565"/>
    <w:rsid w:val="00E4699C"/>
    <w:rsid w:val="00E46BA8"/>
    <w:rsid w:val="00E472AB"/>
    <w:rsid w:val="00E4766F"/>
    <w:rsid w:val="00E478AB"/>
    <w:rsid w:val="00E47924"/>
    <w:rsid w:val="00E47D18"/>
    <w:rsid w:val="00E5002D"/>
    <w:rsid w:val="00E50A41"/>
    <w:rsid w:val="00E518EE"/>
    <w:rsid w:val="00E52FEE"/>
    <w:rsid w:val="00E5326B"/>
    <w:rsid w:val="00E535CE"/>
    <w:rsid w:val="00E54B3D"/>
    <w:rsid w:val="00E55646"/>
    <w:rsid w:val="00E5567D"/>
    <w:rsid w:val="00E5573E"/>
    <w:rsid w:val="00E564B1"/>
    <w:rsid w:val="00E565EE"/>
    <w:rsid w:val="00E56BB2"/>
    <w:rsid w:val="00E57A73"/>
    <w:rsid w:val="00E57CA2"/>
    <w:rsid w:val="00E601BA"/>
    <w:rsid w:val="00E602F5"/>
    <w:rsid w:val="00E60493"/>
    <w:rsid w:val="00E609E3"/>
    <w:rsid w:val="00E609EC"/>
    <w:rsid w:val="00E60F50"/>
    <w:rsid w:val="00E61A97"/>
    <w:rsid w:val="00E61DE7"/>
    <w:rsid w:val="00E62283"/>
    <w:rsid w:val="00E62895"/>
    <w:rsid w:val="00E64009"/>
    <w:rsid w:val="00E6418D"/>
    <w:rsid w:val="00E64358"/>
    <w:rsid w:val="00E6448D"/>
    <w:rsid w:val="00E64CEB"/>
    <w:rsid w:val="00E65BBE"/>
    <w:rsid w:val="00E663A8"/>
    <w:rsid w:val="00E66A4A"/>
    <w:rsid w:val="00E66B63"/>
    <w:rsid w:val="00E66D2A"/>
    <w:rsid w:val="00E67689"/>
    <w:rsid w:val="00E67908"/>
    <w:rsid w:val="00E67B68"/>
    <w:rsid w:val="00E70B10"/>
    <w:rsid w:val="00E70B33"/>
    <w:rsid w:val="00E70D27"/>
    <w:rsid w:val="00E71797"/>
    <w:rsid w:val="00E71C7F"/>
    <w:rsid w:val="00E72ADE"/>
    <w:rsid w:val="00E735D4"/>
    <w:rsid w:val="00E748A9"/>
    <w:rsid w:val="00E753D8"/>
    <w:rsid w:val="00E75880"/>
    <w:rsid w:val="00E761A3"/>
    <w:rsid w:val="00E775F7"/>
    <w:rsid w:val="00E80B57"/>
    <w:rsid w:val="00E813B7"/>
    <w:rsid w:val="00E81762"/>
    <w:rsid w:val="00E817B8"/>
    <w:rsid w:val="00E8253A"/>
    <w:rsid w:val="00E82FBF"/>
    <w:rsid w:val="00E833D9"/>
    <w:rsid w:val="00E83B24"/>
    <w:rsid w:val="00E83D14"/>
    <w:rsid w:val="00E84071"/>
    <w:rsid w:val="00E84650"/>
    <w:rsid w:val="00E84682"/>
    <w:rsid w:val="00E8488D"/>
    <w:rsid w:val="00E85264"/>
    <w:rsid w:val="00E86807"/>
    <w:rsid w:val="00E869C6"/>
    <w:rsid w:val="00E87306"/>
    <w:rsid w:val="00E9176D"/>
    <w:rsid w:val="00E92D77"/>
    <w:rsid w:val="00E92E96"/>
    <w:rsid w:val="00E932E8"/>
    <w:rsid w:val="00E93853"/>
    <w:rsid w:val="00E93A9A"/>
    <w:rsid w:val="00E93DA9"/>
    <w:rsid w:val="00E940D6"/>
    <w:rsid w:val="00E9424B"/>
    <w:rsid w:val="00E949C2"/>
    <w:rsid w:val="00E95063"/>
    <w:rsid w:val="00E9635B"/>
    <w:rsid w:val="00E97403"/>
    <w:rsid w:val="00EA0139"/>
    <w:rsid w:val="00EA063C"/>
    <w:rsid w:val="00EA0DFC"/>
    <w:rsid w:val="00EA11C4"/>
    <w:rsid w:val="00EA1E2A"/>
    <w:rsid w:val="00EA20E2"/>
    <w:rsid w:val="00EA26EA"/>
    <w:rsid w:val="00EA27FB"/>
    <w:rsid w:val="00EA2A72"/>
    <w:rsid w:val="00EA2FB5"/>
    <w:rsid w:val="00EA30D2"/>
    <w:rsid w:val="00EA3899"/>
    <w:rsid w:val="00EA3C6E"/>
    <w:rsid w:val="00EA3E8C"/>
    <w:rsid w:val="00EA589C"/>
    <w:rsid w:val="00EA64DC"/>
    <w:rsid w:val="00EA6FED"/>
    <w:rsid w:val="00EA7C58"/>
    <w:rsid w:val="00EB0C99"/>
    <w:rsid w:val="00EB1279"/>
    <w:rsid w:val="00EB2243"/>
    <w:rsid w:val="00EB24F0"/>
    <w:rsid w:val="00EB31F0"/>
    <w:rsid w:val="00EB4314"/>
    <w:rsid w:val="00EB5DBC"/>
    <w:rsid w:val="00EB6738"/>
    <w:rsid w:val="00EB6A3E"/>
    <w:rsid w:val="00EB74CC"/>
    <w:rsid w:val="00EB7A20"/>
    <w:rsid w:val="00EC05F4"/>
    <w:rsid w:val="00EC1774"/>
    <w:rsid w:val="00EC1F27"/>
    <w:rsid w:val="00EC1F6B"/>
    <w:rsid w:val="00EC2DA7"/>
    <w:rsid w:val="00EC3428"/>
    <w:rsid w:val="00EC36D2"/>
    <w:rsid w:val="00EC37B2"/>
    <w:rsid w:val="00EC4CC1"/>
    <w:rsid w:val="00EC556D"/>
    <w:rsid w:val="00EC569F"/>
    <w:rsid w:val="00EC5C3B"/>
    <w:rsid w:val="00EC65BC"/>
    <w:rsid w:val="00EC799E"/>
    <w:rsid w:val="00EC7E96"/>
    <w:rsid w:val="00ED1080"/>
    <w:rsid w:val="00ED1997"/>
    <w:rsid w:val="00ED1B87"/>
    <w:rsid w:val="00ED2392"/>
    <w:rsid w:val="00ED2E10"/>
    <w:rsid w:val="00ED2FDF"/>
    <w:rsid w:val="00ED3AD5"/>
    <w:rsid w:val="00ED40F9"/>
    <w:rsid w:val="00ED4BC8"/>
    <w:rsid w:val="00ED4C17"/>
    <w:rsid w:val="00ED5AF0"/>
    <w:rsid w:val="00ED6C5D"/>
    <w:rsid w:val="00ED6D34"/>
    <w:rsid w:val="00ED6E5F"/>
    <w:rsid w:val="00ED73AB"/>
    <w:rsid w:val="00ED7C3F"/>
    <w:rsid w:val="00ED7F5C"/>
    <w:rsid w:val="00EE0F3E"/>
    <w:rsid w:val="00EE1632"/>
    <w:rsid w:val="00EE1652"/>
    <w:rsid w:val="00EE325C"/>
    <w:rsid w:val="00EE36C1"/>
    <w:rsid w:val="00EE3FBD"/>
    <w:rsid w:val="00EE419B"/>
    <w:rsid w:val="00EE41CC"/>
    <w:rsid w:val="00EE43FC"/>
    <w:rsid w:val="00EE4462"/>
    <w:rsid w:val="00EE5667"/>
    <w:rsid w:val="00EE5D33"/>
    <w:rsid w:val="00EE726C"/>
    <w:rsid w:val="00EE7644"/>
    <w:rsid w:val="00EE797B"/>
    <w:rsid w:val="00EF029B"/>
    <w:rsid w:val="00EF05AC"/>
    <w:rsid w:val="00EF0D97"/>
    <w:rsid w:val="00EF1433"/>
    <w:rsid w:val="00EF1D84"/>
    <w:rsid w:val="00EF1ED2"/>
    <w:rsid w:val="00EF1EFE"/>
    <w:rsid w:val="00EF273D"/>
    <w:rsid w:val="00EF3C95"/>
    <w:rsid w:val="00EF3E7C"/>
    <w:rsid w:val="00EF41BB"/>
    <w:rsid w:val="00EF561E"/>
    <w:rsid w:val="00EF6059"/>
    <w:rsid w:val="00EF665E"/>
    <w:rsid w:val="00EF666C"/>
    <w:rsid w:val="00EF6C51"/>
    <w:rsid w:val="00EF6D0F"/>
    <w:rsid w:val="00EF6EFE"/>
    <w:rsid w:val="00EF7161"/>
    <w:rsid w:val="00EF7300"/>
    <w:rsid w:val="00EF78BC"/>
    <w:rsid w:val="00F009BD"/>
    <w:rsid w:val="00F01F40"/>
    <w:rsid w:val="00F01FCF"/>
    <w:rsid w:val="00F02B96"/>
    <w:rsid w:val="00F03194"/>
    <w:rsid w:val="00F032B4"/>
    <w:rsid w:val="00F037E1"/>
    <w:rsid w:val="00F03AA1"/>
    <w:rsid w:val="00F03B89"/>
    <w:rsid w:val="00F03D97"/>
    <w:rsid w:val="00F05274"/>
    <w:rsid w:val="00F056E6"/>
    <w:rsid w:val="00F060E3"/>
    <w:rsid w:val="00F060E7"/>
    <w:rsid w:val="00F063CB"/>
    <w:rsid w:val="00F06C05"/>
    <w:rsid w:val="00F07D5E"/>
    <w:rsid w:val="00F07E3A"/>
    <w:rsid w:val="00F113B7"/>
    <w:rsid w:val="00F117A8"/>
    <w:rsid w:val="00F11A06"/>
    <w:rsid w:val="00F11B97"/>
    <w:rsid w:val="00F126EB"/>
    <w:rsid w:val="00F128A4"/>
    <w:rsid w:val="00F12DA8"/>
    <w:rsid w:val="00F15356"/>
    <w:rsid w:val="00F153B8"/>
    <w:rsid w:val="00F15E93"/>
    <w:rsid w:val="00F16EFF"/>
    <w:rsid w:val="00F17306"/>
    <w:rsid w:val="00F174B5"/>
    <w:rsid w:val="00F17C46"/>
    <w:rsid w:val="00F20540"/>
    <w:rsid w:val="00F20832"/>
    <w:rsid w:val="00F208DC"/>
    <w:rsid w:val="00F22362"/>
    <w:rsid w:val="00F22ECA"/>
    <w:rsid w:val="00F232B1"/>
    <w:rsid w:val="00F23B3A"/>
    <w:rsid w:val="00F2412C"/>
    <w:rsid w:val="00F24986"/>
    <w:rsid w:val="00F2619A"/>
    <w:rsid w:val="00F262B0"/>
    <w:rsid w:val="00F26E46"/>
    <w:rsid w:val="00F2705E"/>
    <w:rsid w:val="00F271CD"/>
    <w:rsid w:val="00F27409"/>
    <w:rsid w:val="00F275D8"/>
    <w:rsid w:val="00F3004A"/>
    <w:rsid w:val="00F30326"/>
    <w:rsid w:val="00F31B06"/>
    <w:rsid w:val="00F32608"/>
    <w:rsid w:val="00F32F5B"/>
    <w:rsid w:val="00F33AF2"/>
    <w:rsid w:val="00F3426F"/>
    <w:rsid w:val="00F34780"/>
    <w:rsid w:val="00F34A3C"/>
    <w:rsid w:val="00F3599C"/>
    <w:rsid w:val="00F35CB6"/>
    <w:rsid w:val="00F360AD"/>
    <w:rsid w:val="00F365C1"/>
    <w:rsid w:val="00F36FF0"/>
    <w:rsid w:val="00F3706A"/>
    <w:rsid w:val="00F37CBA"/>
    <w:rsid w:val="00F37CD5"/>
    <w:rsid w:val="00F41128"/>
    <w:rsid w:val="00F417E4"/>
    <w:rsid w:val="00F41A70"/>
    <w:rsid w:val="00F4297D"/>
    <w:rsid w:val="00F42FE6"/>
    <w:rsid w:val="00F43381"/>
    <w:rsid w:val="00F43CB0"/>
    <w:rsid w:val="00F43D2F"/>
    <w:rsid w:val="00F44962"/>
    <w:rsid w:val="00F45030"/>
    <w:rsid w:val="00F45648"/>
    <w:rsid w:val="00F45DE8"/>
    <w:rsid w:val="00F460F5"/>
    <w:rsid w:val="00F47384"/>
    <w:rsid w:val="00F474FF"/>
    <w:rsid w:val="00F5100B"/>
    <w:rsid w:val="00F512C3"/>
    <w:rsid w:val="00F53247"/>
    <w:rsid w:val="00F541B0"/>
    <w:rsid w:val="00F551E1"/>
    <w:rsid w:val="00F55351"/>
    <w:rsid w:val="00F5557A"/>
    <w:rsid w:val="00F55A82"/>
    <w:rsid w:val="00F55C02"/>
    <w:rsid w:val="00F55E87"/>
    <w:rsid w:val="00F55F21"/>
    <w:rsid w:val="00F56271"/>
    <w:rsid w:val="00F562D5"/>
    <w:rsid w:val="00F56A2B"/>
    <w:rsid w:val="00F577C2"/>
    <w:rsid w:val="00F60318"/>
    <w:rsid w:val="00F60515"/>
    <w:rsid w:val="00F60F8B"/>
    <w:rsid w:val="00F61292"/>
    <w:rsid w:val="00F615E2"/>
    <w:rsid w:val="00F62BDA"/>
    <w:rsid w:val="00F633E1"/>
    <w:rsid w:val="00F63466"/>
    <w:rsid w:val="00F64249"/>
    <w:rsid w:val="00F64A26"/>
    <w:rsid w:val="00F64C4D"/>
    <w:rsid w:val="00F656EC"/>
    <w:rsid w:val="00F65AA7"/>
    <w:rsid w:val="00F6674D"/>
    <w:rsid w:val="00F700AB"/>
    <w:rsid w:val="00F703CB"/>
    <w:rsid w:val="00F7042E"/>
    <w:rsid w:val="00F704E3"/>
    <w:rsid w:val="00F70C78"/>
    <w:rsid w:val="00F70CCB"/>
    <w:rsid w:val="00F70DE2"/>
    <w:rsid w:val="00F70EFD"/>
    <w:rsid w:val="00F7110B"/>
    <w:rsid w:val="00F71181"/>
    <w:rsid w:val="00F7279F"/>
    <w:rsid w:val="00F72C9C"/>
    <w:rsid w:val="00F72FF9"/>
    <w:rsid w:val="00F73752"/>
    <w:rsid w:val="00F7378B"/>
    <w:rsid w:val="00F73C61"/>
    <w:rsid w:val="00F74570"/>
    <w:rsid w:val="00F74B46"/>
    <w:rsid w:val="00F74EB9"/>
    <w:rsid w:val="00F757A0"/>
    <w:rsid w:val="00F75C82"/>
    <w:rsid w:val="00F76E06"/>
    <w:rsid w:val="00F770FD"/>
    <w:rsid w:val="00F77366"/>
    <w:rsid w:val="00F77921"/>
    <w:rsid w:val="00F77D35"/>
    <w:rsid w:val="00F80770"/>
    <w:rsid w:val="00F81149"/>
    <w:rsid w:val="00F815AC"/>
    <w:rsid w:val="00F81DA6"/>
    <w:rsid w:val="00F8207C"/>
    <w:rsid w:val="00F82197"/>
    <w:rsid w:val="00F82255"/>
    <w:rsid w:val="00F8264F"/>
    <w:rsid w:val="00F8278B"/>
    <w:rsid w:val="00F82B43"/>
    <w:rsid w:val="00F82C98"/>
    <w:rsid w:val="00F85DA7"/>
    <w:rsid w:val="00F85E1E"/>
    <w:rsid w:val="00F87C36"/>
    <w:rsid w:val="00F9130C"/>
    <w:rsid w:val="00F92292"/>
    <w:rsid w:val="00F92516"/>
    <w:rsid w:val="00F929CE"/>
    <w:rsid w:val="00F929EF"/>
    <w:rsid w:val="00F92B3D"/>
    <w:rsid w:val="00F92BD7"/>
    <w:rsid w:val="00F932A0"/>
    <w:rsid w:val="00F932F9"/>
    <w:rsid w:val="00F9420E"/>
    <w:rsid w:val="00F942DB"/>
    <w:rsid w:val="00F9616F"/>
    <w:rsid w:val="00F965E8"/>
    <w:rsid w:val="00F96DEE"/>
    <w:rsid w:val="00F97511"/>
    <w:rsid w:val="00F97A68"/>
    <w:rsid w:val="00FA03B8"/>
    <w:rsid w:val="00FA10F4"/>
    <w:rsid w:val="00FA168A"/>
    <w:rsid w:val="00FA1DB6"/>
    <w:rsid w:val="00FA1E69"/>
    <w:rsid w:val="00FA25B7"/>
    <w:rsid w:val="00FA3489"/>
    <w:rsid w:val="00FA39B5"/>
    <w:rsid w:val="00FA4A5B"/>
    <w:rsid w:val="00FA4DDD"/>
    <w:rsid w:val="00FA5706"/>
    <w:rsid w:val="00FA5E55"/>
    <w:rsid w:val="00FA7CD9"/>
    <w:rsid w:val="00FB01D5"/>
    <w:rsid w:val="00FB06D3"/>
    <w:rsid w:val="00FB13C4"/>
    <w:rsid w:val="00FB191B"/>
    <w:rsid w:val="00FB2586"/>
    <w:rsid w:val="00FB2FC9"/>
    <w:rsid w:val="00FB34FF"/>
    <w:rsid w:val="00FB390E"/>
    <w:rsid w:val="00FB408A"/>
    <w:rsid w:val="00FB46CC"/>
    <w:rsid w:val="00FB571C"/>
    <w:rsid w:val="00FB58BE"/>
    <w:rsid w:val="00FB5C5F"/>
    <w:rsid w:val="00FB7CD6"/>
    <w:rsid w:val="00FC0386"/>
    <w:rsid w:val="00FC1569"/>
    <w:rsid w:val="00FC20B0"/>
    <w:rsid w:val="00FC23F7"/>
    <w:rsid w:val="00FC2932"/>
    <w:rsid w:val="00FC2C12"/>
    <w:rsid w:val="00FC330D"/>
    <w:rsid w:val="00FC3628"/>
    <w:rsid w:val="00FC37DF"/>
    <w:rsid w:val="00FC3946"/>
    <w:rsid w:val="00FC3DE3"/>
    <w:rsid w:val="00FC3F41"/>
    <w:rsid w:val="00FC4087"/>
    <w:rsid w:val="00FC4695"/>
    <w:rsid w:val="00FC5DE4"/>
    <w:rsid w:val="00FC6143"/>
    <w:rsid w:val="00FC6A26"/>
    <w:rsid w:val="00FC7CAA"/>
    <w:rsid w:val="00FC7F3F"/>
    <w:rsid w:val="00FD10AC"/>
    <w:rsid w:val="00FD11F0"/>
    <w:rsid w:val="00FD18BE"/>
    <w:rsid w:val="00FD2B26"/>
    <w:rsid w:val="00FD307C"/>
    <w:rsid w:val="00FD371A"/>
    <w:rsid w:val="00FD3762"/>
    <w:rsid w:val="00FD3D4A"/>
    <w:rsid w:val="00FD418E"/>
    <w:rsid w:val="00FD4331"/>
    <w:rsid w:val="00FD53D3"/>
    <w:rsid w:val="00FD595C"/>
    <w:rsid w:val="00FD6131"/>
    <w:rsid w:val="00FD6189"/>
    <w:rsid w:val="00FD6540"/>
    <w:rsid w:val="00FD7660"/>
    <w:rsid w:val="00FE1672"/>
    <w:rsid w:val="00FE167C"/>
    <w:rsid w:val="00FE1D41"/>
    <w:rsid w:val="00FE20BC"/>
    <w:rsid w:val="00FE34BB"/>
    <w:rsid w:val="00FE3526"/>
    <w:rsid w:val="00FE3B31"/>
    <w:rsid w:val="00FE429B"/>
    <w:rsid w:val="00FE42F7"/>
    <w:rsid w:val="00FE4896"/>
    <w:rsid w:val="00FE4907"/>
    <w:rsid w:val="00FE493D"/>
    <w:rsid w:val="00FE5183"/>
    <w:rsid w:val="00FE5644"/>
    <w:rsid w:val="00FE56E3"/>
    <w:rsid w:val="00FE76EC"/>
    <w:rsid w:val="00FE77A8"/>
    <w:rsid w:val="00FF0A09"/>
    <w:rsid w:val="00FF0DA6"/>
    <w:rsid w:val="00FF0F29"/>
    <w:rsid w:val="00FF11FA"/>
    <w:rsid w:val="00FF1980"/>
    <w:rsid w:val="00FF1B80"/>
    <w:rsid w:val="00FF1EDB"/>
    <w:rsid w:val="00FF243F"/>
    <w:rsid w:val="00FF2EF0"/>
    <w:rsid w:val="00FF4074"/>
    <w:rsid w:val="00FF4261"/>
    <w:rsid w:val="00FF4747"/>
    <w:rsid w:val="00FF5D82"/>
    <w:rsid w:val="00FF61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DC743"/>
  <w15:docId w15:val="{066D2E52-AFC8-4910-B561-0E0BC96C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paragraph" w:styleId="Titolo7">
    <w:name w:val="heading 7"/>
    <w:basedOn w:val="Normale"/>
    <w:next w:val="Normale"/>
    <w:link w:val="Titolo7Carattere"/>
    <w:semiHidden/>
    <w:unhideWhenUsed/>
    <w:qFormat/>
    <w:rsid w:val="002E4A2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A Footnote,Footnote,Footnote1,Footnote2,Footnote3,Footnote4,Footnote5,Footnote6,Footnote7,Footnote8,Footnote9,Footnote10,Footnote11,Footnote21,Footnote31,Footnote41,Footnote51,Footnote61,Footnote71,Footnote81,Footnote91"/>
    <w:basedOn w:val="Normale"/>
    <w:link w:val="TestonotaapidipaginaCarattere"/>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5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A Footnote Carattere,Footnote Carattere,Footnote1 Carattere,Footnote2 Carattere,Footnote3 Carattere,Footnote4 Carattere,Footnote5 Carattere,Footnote6 Carattere,Footnote7 Carattere,Footnote8 Carattere"/>
    <w:basedOn w:val="Carpredefinitoparagrafo"/>
    <w:link w:val="Testonotaapidipagina"/>
    <w:uiPriority w:val="99"/>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paragraph" w:customStyle="1" w:styleId="ATitoloTavolaFigura">
    <w:name w:val="A.Titolo Tavola/Figura"/>
    <w:link w:val="ATitoloTavolaFiguraCarattere"/>
    <w:rsid w:val="006A78F6"/>
    <w:pPr>
      <w:spacing w:before="440" w:after="180"/>
      <w:ind w:left="1202" w:hanging="1202"/>
      <w:jc w:val="both"/>
      <w:outlineLvl w:val="0"/>
    </w:pPr>
    <w:rPr>
      <w:rFonts w:cs="Arial"/>
      <w:b/>
      <w:szCs w:val="18"/>
    </w:rPr>
  </w:style>
  <w:style w:type="character" w:customStyle="1" w:styleId="ATitoloTavolaFiguraCarattere">
    <w:name w:val="A.Titolo Tavola/Figura Carattere"/>
    <w:link w:val="ATitoloTavolaFigura"/>
    <w:rsid w:val="006A78F6"/>
    <w:rPr>
      <w:rFonts w:cs="Arial"/>
      <w:b/>
      <w:szCs w:val="18"/>
    </w:rPr>
  </w:style>
  <w:style w:type="paragraph" w:customStyle="1" w:styleId="ANotapipagina">
    <w:name w:val="A.Nota piè pagina"/>
    <w:basedOn w:val="Normale"/>
    <w:link w:val="ANotapipaginaCarattere"/>
    <w:rsid w:val="00123063"/>
    <w:pPr>
      <w:tabs>
        <w:tab w:val="right" w:pos="170"/>
        <w:tab w:val="right" w:pos="284"/>
        <w:tab w:val="right" w:pos="454"/>
        <w:tab w:val="right" w:leader="dot" w:pos="7371"/>
      </w:tabs>
      <w:spacing w:after="20"/>
      <w:ind w:left="113" w:hanging="113"/>
      <w:jc w:val="both"/>
    </w:pPr>
    <w:rPr>
      <w:sz w:val="16"/>
      <w:szCs w:val="16"/>
    </w:rPr>
  </w:style>
  <w:style w:type="character" w:customStyle="1" w:styleId="ANotapipaginaCarattere">
    <w:name w:val="A.Nota piè pagina Carattere"/>
    <w:link w:val="ANotapipagina"/>
    <w:rsid w:val="00123063"/>
    <w:rPr>
      <w:sz w:val="16"/>
      <w:szCs w:val="16"/>
    </w:rPr>
  </w:style>
  <w:style w:type="character" w:customStyle="1" w:styleId="Titolo7Carattere">
    <w:name w:val="Titolo 7 Carattere"/>
    <w:basedOn w:val="Carpredefinitoparagrafo"/>
    <w:link w:val="Titolo7"/>
    <w:semiHidden/>
    <w:rsid w:val="002E4A2E"/>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9829">
      <w:bodyDiv w:val="1"/>
      <w:marLeft w:val="0"/>
      <w:marRight w:val="0"/>
      <w:marTop w:val="0"/>
      <w:marBottom w:val="0"/>
      <w:divBdr>
        <w:top w:val="none" w:sz="0" w:space="0" w:color="auto"/>
        <w:left w:val="none" w:sz="0" w:space="0" w:color="auto"/>
        <w:bottom w:val="none" w:sz="0" w:space="0" w:color="auto"/>
        <w:right w:val="none" w:sz="0" w:space="0" w:color="auto"/>
      </w:divBdr>
    </w:div>
    <w:div w:id="166286615">
      <w:bodyDiv w:val="1"/>
      <w:marLeft w:val="0"/>
      <w:marRight w:val="0"/>
      <w:marTop w:val="0"/>
      <w:marBottom w:val="0"/>
      <w:divBdr>
        <w:top w:val="none" w:sz="0" w:space="0" w:color="auto"/>
        <w:left w:val="none" w:sz="0" w:space="0" w:color="auto"/>
        <w:bottom w:val="none" w:sz="0" w:space="0" w:color="auto"/>
        <w:right w:val="none" w:sz="0" w:space="0" w:color="auto"/>
      </w:divBdr>
    </w:div>
    <w:div w:id="198471242">
      <w:bodyDiv w:val="1"/>
      <w:marLeft w:val="0"/>
      <w:marRight w:val="0"/>
      <w:marTop w:val="0"/>
      <w:marBottom w:val="0"/>
      <w:divBdr>
        <w:top w:val="none" w:sz="0" w:space="0" w:color="auto"/>
        <w:left w:val="none" w:sz="0" w:space="0" w:color="auto"/>
        <w:bottom w:val="none" w:sz="0" w:space="0" w:color="auto"/>
        <w:right w:val="none" w:sz="0" w:space="0" w:color="auto"/>
      </w:divBdr>
    </w:div>
    <w:div w:id="394276108">
      <w:bodyDiv w:val="1"/>
      <w:marLeft w:val="0"/>
      <w:marRight w:val="0"/>
      <w:marTop w:val="0"/>
      <w:marBottom w:val="0"/>
      <w:divBdr>
        <w:top w:val="none" w:sz="0" w:space="0" w:color="auto"/>
        <w:left w:val="none" w:sz="0" w:space="0" w:color="auto"/>
        <w:bottom w:val="none" w:sz="0" w:space="0" w:color="auto"/>
        <w:right w:val="none" w:sz="0" w:space="0" w:color="auto"/>
      </w:divBdr>
    </w:div>
    <w:div w:id="549000538">
      <w:bodyDiv w:val="1"/>
      <w:marLeft w:val="0"/>
      <w:marRight w:val="0"/>
      <w:marTop w:val="0"/>
      <w:marBottom w:val="0"/>
      <w:divBdr>
        <w:top w:val="none" w:sz="0" w:space="0" w:color="auto"/>
        <w:left w:val="none" w:sz="0" w:space="0" w:color="auto"/>
        <w:bottom w:val="none" w:sz="0" w:space="0" w:color="auto"/>
        <w:right w:val="none" w:sz="0" w:space="0" w:color="auto"/>
      </w:divBdr>
    </w:div>
    <w:div w:id="554969738">
      <w:bodyDiv w:val="1"/>
      <w:marLeft w:val="0"/>
      <w:marRight w:val="0"/>
      <w:marTop w:val="0"/>
      <w:marBottom w:val="0"/>
      <w:divBdr>
        <w:top w:val="none" w:sz="0" w:space="0" w:color="auto"/>
        <w:left w:val="none" w:sz="0" w:space="0" w:color="auto"/>
        <w:bottom w:val="none" w:sz="0" w:space="0" w:color="auto"/>
        <w:right w:val="none" w:sz="0" w:space="0" w:color="auto"/>
      </w:divBdr>
    </w:div>
    <w:div w:id="600338468">
      <w:bodyDiv w:val="1"/>
      <w:marLeft w:val="0"/>
      <w:marRight w:val="0"/>
      <w:marTop w:val="0"/>
      <w:marBottom w:val="0"/>
      <w:divBdr>
        <w:top w:val="none" w:sz="0" w:space="0" w:color="auto"/>
        <w:left w:val="none" w:sz="0" w:space="0" w:color="auto"/>
        <w:bottom w:val="none" w:sz="0" w:space="0" w:color="auto"/>
        <w:right w:val="none" w:sz="0" w:space="0" w:color="auto"/>
      </w:divBdr>
    </w:div>
    <w:div w:id="623314308">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793601227">
      <w:bodyDiv w:val="1"/>
      <w:marLeft w:val="0"/>
      <w:marRight w:val="0"/>
      <w:marTop w:val="0"/>
      <w:marBottom w:val="0"/>
      <w:divBdr>
        <w:top w:val="none" w:sz="0" w:space="0" w:color="auto"/>
        <w:left w:val="none" w:sz="0" w:space="0" w:color="auto"/>
        <w:bottom w:val="none" w:sz="0" w:space="0" w:color="auto"/>
        <w:right w:val="none" w:sz="0" w:space="0" w:color="auto"/>
      </w:divBdr>
    </w:div>
    <w:div w:id="852109835">
      <w:bodyDiv w:val="1"/>
      <w:marLeft w:val="0"/>
      <w:marRight w:val="0"/>
      <w:marTop w:val="0"/>
      <w:marBottom w:val="0"/>
      <w:divBdr>
        <w:top w:val="none" w:sz="0" w:space="0" w:color="auto"/>
        <w:left w:val="none" w:sz="0" w:space="0" w:color="auto"/>
        <w:bottom w:val="none" w:sz="0" w:space="0" w:color="auto"/>
        <w:right w:val="none" w:sz="0" w:space="0" w:color="auto"/>
      </w:divBdr>
    </w:div>
    <w:div w:id="899173202">
      <w:bodyDiv w:val="1"/>
      <w:marLeft w:val="0"/>
      <w:marRight w:val="0"/>
      <w:marTop w:val="0"/>
      <w:marBottom w:val="0"/>
      <w:divBdr>
        <w:top w:val="none" w:sz="0" w:space="0" w:color="auto"/>
        <w:left w:val="none" w:sz="0" w:space="0" w:color="auto"/>
        <w:bottom w:val="none" w:sz="0" w:space="0" w:color="auto"/>
        <w:right w:val="none" w:sz="0" w:space="0" w:color="auto"/>
      </w:divBdr>
    </w:div>
    <w:div w:id="1125932519">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327245538">
      <w:bodyDiv w:val="1"/>
      <w:marLeft w:val="0"/>
      <w:marRight w:val="0"/>
      <w:marTop w:val="0"/>
      <w:marBottom w:val="0"/>
      <w:divBdr>
        <w:top w:val="none" w:sz="0" w:space="0" w:color="auto"/>
        <w:left w:val="none" w:sz="0" w:space="0" w:color="auto"/>
        <w:bottom w:val="none" w:sz="0" w:space="0" w:color="auto"/>
        <w:right w:val="none" w:sz="0" w:space="0" w:color="auto"/>
      </w:divBdr>
    </w:div>
    <w:div w:id="1527911625">
      <w:bodyDiv w:val="1"/>
      <w:marLeft w:val="0"/>
      <w:marRight w:val="0"/>
      <w:marTop w:val="0"/>
      <w:marBottom w:val="0"/>
      <w:divBdr>
        <w:top w:val="none" w:sz="0" w:space="0" w:color="auto"/>
        <w:left w:val="none" w:sz="0" w:space="0" w:color="auto"/>
        <w:bottom w:val="none" w:sz="0" w:space="0" w:color="auto"/>
        <w:right w:val="none" w:sz="0" w:space="0" w:color="auto"/>
      </w:divBdr>
    </w:div>
    <w:div w:id="1537086551">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602956136">
      <w:bodyDiv w:val="1"/>
      <w:marLeft w:val="0"/>
      <w:marRight w:val="0"/>
      <w:marTop w:val="0"/>
      <w:marBottom w:val="0"/>
      <w:divBdr>
        <w:top w:val="none" w:sz="0" w:space="0" w:color="auto"/>
        <w:left w:val="none" w:sz="0" w:space="0" w:color="auto"/>
        <w:bottom w:val="none" w:sz="0" w:space="0" w:color="auto"/>
        <w:right w:val="none" w:sz="0" w:space="0" w:color="auto"/>
      </w:divBdr>
    </w:div>
    <w:div w:id="1625698497">
      <w:bodyDiv w:val="1"/>
      <w:marLeft w:val="0"/>
      <w:marRight w:val="0"/>
      <w:marTop w:val="0"/>
      <w:marBottom w:val="0"/>
      <w:divBdr>
        <w:top w:val="none" w:sz="0" w:space="0" w:color="auto"/>
        <w:left w:val="none" w:sz="0" w:space="0" w:color="auto"/>
        <w:bottom w:val="none" w:sz="0" w:space="0" w:color="auto"/>
        <w:right w:val="none" w:sz="0" w:space="0" w:color="auto"/>
      </w:divBdr>
    </w:div>
    <w:div w:id="1660890536">
      <w:bodyDiv w:val="1"/>
      <w:marLeft w:val="0"/>
      <w:marRight w:val="0"/>
      <w:marTop w:val="0"/>
      <w:marBottom w:val="0"/>
      <w:divBdr>
        <w:top w:val="none" w:sz="0" w:space="0" w:color="auto"/>
        <w:left w:val="none" w:sz="0" w:space="0" w:color="auto"/>
        <w:bottom w:val="none" w:sz="0" w:space="0" w:color="auto"/>
        <w:right w:val="none" w:sz="0" w:space="0" w:color="auto"/>
      </w:divBdr>
    </w:div>
    <w:div w:id="1664623207">
      <w:bodyDiv w:val="1"/>
      <w:marLeft w:val="0"/>
      <w:marRight w:val="0"/>
      <w:marTop w:val="0"/>
      <w:marBottom w:val="0"/>
      <w:divBdr>
        <w:top w:val="none" w:sz="0" w:space="0" w:color="auto"/>
        <w:left w:val="none" w:sz="0" w:space="0" w:color="auto"/>
        <w:bottom w:val="none" w:sz="0" w:space="0" w:color="auto"/>
        <w:right w:val="none" w:sz="0" w:space="0" w:color="auto"/>
      </w:divBdr>
    </w:div>
    <w:div w:id="1682009921">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718160354">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32982948">
      <w:bodyDiv w:val="1"/>
      <w:marLeft w:val="0"/>
      <w:marRight w:val="0"/>
      <w:marTop w:val="0"/>
      <w:marBottom w:val="0"/>
      <w:divBdr>
        <w:top w:val="none" w:sz="0" w:space="0" w:color="auto"/>
        <w:left w:val="none" w:sz="0" w:space="0" w:color="auto"/>
        <w:bottom w:val="none" w:sz="0" w:space="0" w:color="auto"/>
        <w:right w:val="none" w:sz="0" w:space="0" w:color="auto"/>
      </w:divBdr>
    </w:div>
    <w:div w:id="1852447772">
      <w:bodyDiv w:val="1"/>
      <w:marLeft w:val="0"/>
      <w:marRight w:val="0"/>
      <w:marTop w:val="0"/>
      <w:marBottom w:val="0"/>
      <w:divBdr>
        <w:top w:val="none" w:sz="0" w:space="0" w:color="auto"/>
        <w:left w:val="none" w:sz="0" w:space="0" w:color="auto"/>
        <w:bottom w:val="none" w:sz="0" w:space="0" w:color="auto"/>
        <w:right w:val="none" w:sz="0" w:space="0" w:color="auto"/>
      </w:divBdr>
    </w:div>
    <w:div w:id="1866627305">
      <w:bodyDiv w:val="1"/>
      <w:marLeft w:val="0"/>
      <w:marRight w:val="0"/>
      <w:marTop w:val="0"/>
      <w:marBottom w:val="0"/>
      <w:divBdr>
        <w:top w:val="none" w:sz="0" w:space="0" w:color="auto"/>
        <w:left w:val="none" w:sz="0" w:space="0" w:color="auto"/>
        <w:bottom w:val="none" w:sz="0" w:space="0" w:color="auto"/>
        <w:right w:val="none" w:sz="0" w:space="0" w:color="auto"/>
      </w:divBdr>
    </w:div>
    <w:div w:id="1875069260">
      <w:bodyDiv w:val="1"/>
      <w:marLeft w:val="0"/>
      <w:marRight w:val="0"/>
      <w:marTop w:val="0"/>
      <w:marBottom w:val="0"/>
      <w:divBdr>
        <w:top w:val="none" w:sz="0" w:space="0" w:color="auto"/>
        <w:left w:val="none" w:sz="0" w:space="0" w:color="auto"/>
        <w:bottom w:val="none" w:sz="0" w:space="0" w:color="auto"/>
        <w:right w:val="none" w:sz="0" w:space="0" w:color="auto"/>
      </w:divBdr>
    </w:div>
    <w:div w:id="1878273440">
      <w:bodyDiv w:val="1"/>
      <w:marLeft w:val="0"/>
      <w:marRight w:val="0"/>
      <w:marTop w:val="0"/>
      <w:marBottom w:val="0"/>
      <w:divBdr>
        <w:top w:val="none" w:sz="0" w:space="0" w:color="auto"/>
        <w:left w:val="none" w:sz="0" w:space="0" w:color="auto"/>
        <w:bottom w:val="none" w:sz="0" w:space="0" w:color="auto"/>
        <w:right w:val="none" w:sz="0" w:space="0" w:color="auto"/>
      </w:divBdr>
    </w:div>
    <w:div w:id="1981223451">
      <w:bodyDiv w:val="1"/>
      <w:marLeft w:val="0"/>
      <w:marRight w:val="0"/>
      <w:marTop w:val="0"/>
      <w:marBottom w:val="0"/>
      <w:divBdr>
        <w:top w:val="none" w:sz="0" w:space="0" w:color="auto"/>
        <w:left w:val="none" w:sz="0" w:space="0" w:color="auto"/>
        <w:bottom w:val="none" w:sz="0" w:space="0" w:color="auto"/>
        <w:right w:val="none" w:sz="0" w:space="0" w:color="auto"/>
      </w:divBdr>
    </w:div>
    <w:div w:id="201884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theme" Target="theme/theme1.xml"/><Relationship Id="rId21" Type="http://schemas.openxmlformats.org/officeDocument/2006/relationships/chart" Target="charts/chart10.xml"/><Relationship Id="rId34" Type="http://schemas.openxmlformats.org/officeDocument/2006/relationships/hyperlink" Target="http://www.istat.it/it/produzione-editoriale"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5.png"/><Relationship Id="rId33" Type="http://schemas.openxmlformats.org/officeDocument/2006/relationships/hyperlink" Target="http://ec.europa.eu/eurostat/web/household-budget-surveys/databas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hyperlink" Target="http://dati.istat.it/%20"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mailto:cutillo@istat.it" TargetMode="Externa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hyperlink" Target="mailto:arigoni@istat.it" TargetMode="External"/><Relationship Id="rId8" Type="http://schemas.openxmlformats.org/officeDocument/2006/relationships/footer" Target="foot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mailto:ufficiostampa@istat.it" TargetMode="External"/><Relationship Id="rId2" Type="http://schemas.openxmlformats.org/officeDocument/2006/relationships/hyperlink" Target="https://contact.istat.it/" TargetMode="External"/><Relationship Id="rId1" Type="http://schemas.openxmlformats.org/officeDocument/2006/relationships/hyperlink" Target="mailto:ufficiostampa@istat.it" TargetMode="External"/><Relationship Id="rId5" Type="http://schemas.openxmlformats.org/officeDocument/2006/relationships/image" Target="media/image2.jpg"/><Relationship Id="rId4" Type="http://schemas.openxmlformats.org/officeDocument/2006/relationships/hyperlink" Target="https://contact.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TENTE\Desktop\Smart%20working\Editing%20Report\Report%20Spese%20per%20consumi%20delle%20famiglie%20anno%202020\Spese%202020_SR_figure_per%20invio\PAG%203_Figura1%20serie%20storica_spesa%20media%20x%20rip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as-balbo-3\Indagine%20sulle%20spese\8_Statistica%20Report\SR9giugno2021\2_SR%20Spese_figure\PAG%209_Figura7_spesa%20per%20quinti_.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as-balbo-3\Indagine%20sulle%20spese\8_Statistica%20Report\SR9giugno2021\2_SR%20Spese_figure\PAG%209_Figura7_spesa%20per%20quinti_.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as-balbo-3\Indagine%20sulle%20spese\8_Statistica%20Report\SR9giugno2021\2_SR%20Spese_figure\PAG%2010_Figura8_spesa%20per%20quinti%20con%20prezz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as-balbo-3\Indagine%20sulle%20spese\8_Statistica%20Report\SR9giugno2021\2_SR%20Spese_figure\PAG%2010_Figura8_spesa%20per%20quinti%20con%20prezz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chipani\Desktop\SM\Report%20Spese%20per%20consumi%20delle%20famiglie%20anno%202020\Spese%202020_SR_figure_per%20invio\PAG%204_Figura2%20spesa%20media%20e%20mediana%20x%20rip5%20e%20tipco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hipani\Desktop\SM\Report%20Spese%20per%20consumi%20delle%20famiglie%20anno%202020\Spese%202020_SR_figure_per%20invio\PAG%204_Figura2%20spesa%20media%20e%20mediana%20x%20rip5%20e%20tipco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chipani\Desktop\SM\Report%20Spese%20per%20consumi%20delle%20famiglie%20anno%202020\Spese%202020_SR_figure_per%20invio\PAG%205_Figura3%20abitudini%20di%20spe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chipani\Desktop\SM\Report%20Spese%20per%20consumi%20delle%20famiglie%20anno%202020\Spese%202020_SR_figure_per%20invio\PAG%206_Figura4%20spesa%20media%20x%20cond%20profe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chipani\Desktop\SM\Report%20Spese%20per%20consumi%20delle%20famiglie%20anno%202020\Spese%202020_SR_figure_per%20invio\PAG%207_Figura5%20spesa%20media%20x%20citt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chipani\Desktop\SM\Report%20Spese%20per%20consumi%20delle%20famiglie%20anno%202020\Spese%202020_SR_figure_per%20invio\PAG%208_Figura6%20affitto%20e%20mutu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chipani\Desktop\SM\Report%20Spese%20per%20consumi%20delle%20famiglie%20anno%202020\Spese%202020_SR_figure_per%20invio\PAG%208_Figura6%20affitto%20e%20mutu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as-balbo-3\Indagine%20sulle%20spese\8_Statistica%20Report\SR9giugno2021\2_SR%20Spese_figure\PAG%209_Figura7_spesa%20per%20quinti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'FIGURA 1'!$A$3</c:f>
              <c:strCache>
                <c:ptCount val="1"/>
                <c:pt idx="0">
                  <c:v>Nord-ovest</c:v>
                </c:pt>
              </c:strCache>
            </c:strRef>
          </c:tx>
          <c:spPr>
            <a:ln>
              <a:solidFill>
                <a:srgbClr val="1F497D"/>
              </a:solidFill>
              <a:prstDash val="solid"/>
            </a:ln>
          </c:spPr>
          <c:marker>
            <c:symbol val="none"/>
          </c:marker>
          <c:dLbls>
            <c:delete val="1"/>
          </c:dLbls>
          <c:cat>
            <c:numRef>
              <c:f>'FIGURA 1'!$B$2:$N$2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'FIGURA 1'!$B$3:$N$3</c:f>
              <c:numCache>
                <c:formatCode>#,##0</c:formatCode>
                <c:ptCount val="13"/>
                <c:pt idx="0">
                  <c:v>2873.1431530999998</c:v>
                </c:pt>
                <c:pt idx="1">
                  <c:v>2866.7282626000001</c:v>
                </c:pt>
                <c:pt idx="2">
                  <c:v>2883.8518881</c:v>
                </c:pt>
                <c:pt idx="3">
                  <c:v>2973.0431407999999</c:v>
                </c:pt>
                <c:pt idx="4">
                  <c:v>2824.6472813</c:v>
                </c:pt>
                <c:pt idx="5">
                  <c:v>2757.1485728000002</c:v>
                </c:pt>
                <c:pt idx="6">
                  <c:v>2798.68</c:v>
                </c:pt>
                <c:pt idx="7">
                  <c:v>2836.32</c:v>
                </c:pt>
                <c:pt idx="8">
                  <c:v>2839.1</c:v>
                </c:pt>
                <c:pt idx="9">
                  <c:v>2874.77</c:v>
                </c:pt>
                <c:pt idx="10">
                  <c:v>2865.61</c:v>
                </c:pt>
                <c:pt idx="11">
                  <c:v>2810.27</c:v>
                </c:pt>
                <c:pt idx="12">
                  <c:v>2523.38</c:v>
                </c:pt>
              </c:numCache>
            </c:numRef>
          </c:val>
          <c:smooth val="0"/>
          <c:extLst>
            <c:ext xmlns:c16="http://schemas.microsoft.com/office/drawing/2014/chart" uri="{C3380CC4-5D6E-409C-BE32-E72D297353CC}">
              <c16:uniqueId val="{00000000-A1A1-49BE-9A84-F1E0AA0C0C23}"/>
            </c:ext>
          </c:extLst>
        </c:ser>
        <c:ser>
          <c:idx val="1"/>
          <c:order val="1"/>
          <c:tx>
            <c:strRef>
              <c:f>'FIGURA 1'!$A$4</c:f>
              <c:strCache>
                <c:ptCount val="1"/>
                <c:pt idx="0">
                  <c:v>Nord-est</c:v>
                </c:pt>
              </c:strCache>
            </c:strRef>
          </c:tx>
          <c:spPr>
            <a:ln>
              <a:solidFill>
                <a:srgbClr val="E42618"/>
              </a:solidFill>
              <a:prstDash val="solid"/>
            </a:ln>
          </c:spPr>
          <c:marker>
            <c:symbol val="none"/>
          </c:marker>
          <c:dLbls>
            <c:delete val="1"/>
          </c:dLbls>
          <c:cat>
            <c:numRef>
              <c:f>'FIGURA 1'!$B$2:$N$2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'FIGURA 1'!$B$4:$N$4</c:f>
              <c:numCache>
                <c:formatCode>#,##0</c:formatCode>
                <c:ptCount val="13"/>
                <c:pt idx="0">
                  <c:v>2990.2819832999999</c:v>
                </c:pt>
                <c:pt idx="1">
                  <c:v>2851.0076695999996</c:v>
                </c:pt>
                <c:pt idx="2">
                  <c:v>2933.1446175000001</c:v>
                </c:pt>
                <c:pt idx="3">
                  <c:v>2929.1590582999997</c:v>
                </c:pt>
                <c:pt idx="4">
                  <c:v>2880.3765259000002</c:v>
                </c:pt>
                <c:pt idx="5">
                  <c:v>2770.6371923000002</c:v>
                </c:pt>
                <c:pt idx="6">
                  <c:v>2776.51</c:v>
                </c:pt>
                <c:pt idx="7">
                  <c:v>2757.32</c:v>
                </c:pt>
                <c:pt idx="8">
                  <c:v>2806.4</c:v>
                </c:pt>
                <c:pt idx="9">
                  <c:v>2843.85</c:v>
                </c:pt>
                <c:pt idx="10">
                  <c:v>2782.72</c:v>
                </c:pt>
                <c:pt idx="11">
                  <c:v>2789.97</c:v>
                </c:pt>
                <c:pt idx="12">
                  <c:v>2525.33</c:v>
                </c:pt>
              </c:numCache>
            </c:numRef>
          </c:val>
          <c:smooth val="0"/>
          <c:extLst>
            <c:ext xmlns:c16="http://schemas.microsoft.com/office/drawing/2014/chart" uri="{C3380CC4-5D6E-409C-BE32-E72D297353CC}">
              <c16:uniqueId val="{00000001-A1A1-49BE-9A84-F1E0AA0C0C23}"/>
            </c:ext>
          </c:extLst>
        </c:ser>
        <c:ser>
          <c:idx val="2"/>
          <c:order val="2"/>
          <c:tx>
            <c:strRef>
              <c:f>'FIGURA 1'!$A$5</c:f>
              <c:strCache>
                <c:ptCount val="1"/>
                <c:pt idx="0">
                  <c:v>Centro</c:v>
                </c:pt>
              </c:strCache>
            </c:strRef>
          </c:tx>
          <c:spPr>
            <a:ln>
              <a:solidFill>
                <a:srgbClr val="006482"/>
              </a:solidFill>
              <a:prstDash val="solid"/>
            </a:ln>
          </c:spPr>
          <c:marker>
            <c:symbol val="none"/>
          </c:marker>
          <c:dLbls>
            <c:delete val="1"/>
          </c:dLbls>
          <c:cat>
            <c:numRef>
              <c:f>'FIGURA 1'!$B$2:$N$2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'FIGURA 1'!$B$5:$N$5</c:f>
              <c:numCache>
                <c:formatCode>#,##0</c:formatCode>
                <c:ptCount val="13"/>
                <c:pt idx="0">
                  <c:v>2783.2194254000001</c:v>
                </c:pt>
                <c:pt idx="1">
                  <c:v>2751.949466</c:v>
                </c:pt>
                <c:pt idx="2">
                  <c:v>2717.0134518</c:v>
                </c:pt>
                <c:pt idx="3">
                  <c:v>2763.3562517</c:v>
                </c:pt>
                <c:pt idx="4">
                  <c:v>2671.9128837000003</c:v>
                </c:pt>
                <c:pt idx="5">
                  <c:v>2593.7102273</c:v>
                </c:pt>
                <c:pt idx="6">
                  <c:v>2608.4499999999998</c:v>
                </c:pt>
                <c:pt idx="7">
                  <c:v>2599.6799999999998</c:v>
                </c:pt>
                <c:pt idx="8">
                  <c:v>2612.4499999999998</c:v>
                </c:pt>
                <c:pt idx="9">
                  <c:v>2678.71</c:v>
                </c:pt>
                <c:pt idx="10">
                  <c:v>2723.01</c:v>
                </c:pt>
                <c:pt idx="11">
                  <c:v>2754.12</c:v>
                </c:pt>
                <c:pt idx="12">
                  <c:v>2510.5100000000002</c:v>
                </c:pt>
              </c:numCache>
            </c:numRef>
          </c:val>
          <c:smooth val="0"/>
          <c:extLst>
            <c:ext xmlns:c16="http://schemas.microsoft.com/office/drawing/2014/chart" uri="{C3380CC4-5D6E-409C-BE32-E72D297353CC}">
              <c16:uniqueId val="{00000002-A1A1-49BE-9A84-F1E0AA0C0C23}"/>
            </c:ext>
          </c:extLst>
        </c:ser>
        <c:ser>
          <c:idx val="3"/>
          <c:order val="3"/>
          <c:tx>
            <c:strRef>
              <c:f>'FIGURA 1'!$A$6</c:f>
              <c:strCache>
                <c:ptCount val="1"/>
                <c:pt idx="0">
                  <c:v>Sud</c:v>
                </c:pt>
              </c:strCache>
            </c:strRef>
          </c:tx>
          <c:spPr>
            <a:ln>
              <a:solidFill>
                <a:srgbClr val="9BBB59"/>
              </a:solidFill>
              <a:prstDash val="solid"/>
            </a:ln>
          </c:spPr>
          <c:marker>
            <c:symbol val="none"/>
          </c:marker>
          <c:dLbls>
            <c:delete val="1"/>
          </c:dLbls>
          <c:cat>
            <c:numRef>
              <c:f>'FIGURA 1'!$B$2:$N$2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'FIGURA 1'!$B$6:$N$6</c:f>
              <c:numCache>
                <c:formatCode>#,##0</c:formatCode>
                <c:ptCount val="13"/>
                <c:pt idx="0">
                  <c:v>2174.7437832000001</c:v>
                </c:pt>
                <c:pt idx="1">
                  <c:v>2114.8419595</c:v>
                </c:pt>
                <c:pt idx="2">
                  <c:v>2107.4330356</c:v>
                </c:pt>
                <c:pt idx="3">
                  <c:v>2132.5235533</c:v>
                </c:pt>
                <c:pt idx="4">
                  <c:v>2047.4377482</c:v>
                </c:pt>
                <c:pt idx="5">
                  <c:v>1999.7272683000001</c:v>
                </c:pt>
                <c:pt idx="6">
                  <c:v>2002.78</c:v>
                </c:pt>
                <c:pt idx="7">
                  <c:v>2019.47</c:v>
                </c:pt>
                <c:pt idx="8">
                  <c:v>2051.2199999999998</c:v>
                </c:pt>
                <c:pt idx="9">
                  <c:v>2071.2199999999998</c:v>
                </c:pt>
                <c:pt idx="10">
                  <c:v>2087.0100000000002</c:v>
                </c:pt>
                <c:pt idx="11">
                  <c:v>2067.5</c:v>
                </c:pt>
                <c:pt idx="12">
                  <c:v>1898.09</c:v>
                </c:pt>
              </c:numCache>
            </c:numRef>
          </c:val>
          <c:smooth val="0"/>
          <c:extLst>
            <c:ext xmlns:c16="http://schemas.microsoft.com/office/drawing/2014/chart" uri="{C3380CC4-5D6E-409C-BE32-E72D297353CC}">
              <c16:uniqueId val="{00000003-A1A1-49BE-9A84-F1E0AA0C0C23}"/>
            </c:ext>
          </c:extLst>
        </c:ser>
        <c:ser>
          <c:idx val="4"/>
          <c:order val="4"/>
          <c:tx>
            <c:strRef>
              <c:f>'FIGURA 1'!$A$7</c:f>
              <c:strCache>
                <c:ptCount val="1"/>
                <c:pt idx="0">
                  <c:v>Isole</c:v>
                </c:pt>
              </c:strCache>
            </c:strRef>
          </c:tx>
          <c:spPr>
            <a:ln>
              <a:solidFill>
                <a:srgbClr val="888888"/>
              </a:solidFill>
              <a:prstDash val="solid"/>
            </a:ln>
          </c:spPr>
          <c:marker>
            <c:symbol val="none"/>
          </c:marker>
          <c:dLbls>
            <c:delete val="1"/>
          </c:dLbls>
          <c:cat>
            <c:numRef>
              <c:f>'FIGURA 1'!$B$2:$N$2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'FIGURA 1'!$B$7:$N$7</c:f>
              <c:numCache>
                <c:formatCode>#,##0</c:formatCode>
                <c:ptCount val="13"/>
                <c:pt idx="0">
                  <c:v>2122.3123338</c:v>
                </c:pt>
                <c:pt idx="1">
                  <c:v>2047.007883</c:v>
                </c:pt>
                <c:pt idx="2">
                  <c:v>2040.7353823000001</c:v>
                </c:pt>
                <c:pt idx="3">
                  <c:v>2012.1398767999999</c:v>
                </c:pt>
                <c:pt idx="4">
                  <c:v>1991.0330279999998</c:v>
                </c:pt>
                <c:pt idx="5">
                  <c:v>1867.3363267999998</c:v>
                </c:pt>
                <c:pt idx="6">
                  <c:v>1871.25</c:v>
                </c:pt>
                <c:pt idx="7">
                  <c:v>1891.78</c:v>
                </c:pt>
                <c:pt idx="8">
                  <c:v>1942.28</c:v>
                </c:pt>
                <c:pt idx="9">
                  <c:v>1982.88</c:v>
                </c:pt>
                <c:pt idx="10">
                  <c:v>2068.4899999999998</c:v>
                </c:pt>
                <c:pt idx="11">
                  <c:v>2070.7800000000002</c:v>
                </c:pt>
                <c:pt idx="12">
                  <c:v>1949</c:v>
                </c:pt>
              </c:numCache>
            </c:numRef>
          </c:val>
          <c:smooth val="0"/>
          <c:extLst>
            <c:ext xmlns:c16="http://schemas.microsoft.com/office/drawing/2014/chart" uri="{C3380CC4-5D6E-409C-BE32-E72D297353CC}">
              <c16:uniqueId val="{00000004-A1A1-49BE-9A84-F1E0AA0C0C23}"/>
            </c:ext>
          </c:extLst>
        </c:ser>
        <c:ser>
          <c:idx val="5"/>
          <c:order val="5"/>
          <c:tx>
            <c:strRef>
              <c:f>'FIGURA 1'!$A$8</c:f>
              <c:strCache>
                <c:ptCount val="1"/>
                <c:pt idx="0">
                  <c:v>Italia</c:v>
                </c:pt>
              </c:strCache>
            </c:strRef>
          </c:tx>
          <c:spPr>
            <a:ln>
              <a:solidFill>
                <a:srgbClr val="003B5C"/>
              </a:solidFill>
            </a:ln>
          </c:spPr>
          <c:marker>
            <c:symbol val="square"/>
            <c:size val="5"/>
            <c:spPr>
              <a:solidFill>
                <a:srgbClr val="003B5C"/>
              </a:solidFill>
              <a:ln>
                <a:solidFill>
                  <a:srgbClr val="1F497D"/>
                </a:solidFill>
              </a:ln>
            </c:spPr>
          </c:marker>
          <c:dLbls>
            <c:dLbl>
              <c:idx val="0"/>
              <c:tx>
                <c:rich>
                  <a:bodyPr/>
                  <a:lstStyle/>
                  <a:p>
                    <a:r>
                      <a:rPr lang="en-US"/>
                      <a:t>2.648</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1A1-49BE-9A84-F1E0AA0C0C23}"/>
                </c:ext>
              </c:extLst>
            </c:dLbl>
            <c:dLbl>
              <c:idx val="1"/>
              <c:tx>
                <c:rich>
                  <a:bodyPr/>
                  <a:lstStyle/>
                  <a:p>
                    <a:r>
                      <a:rPr lang="en-US"/>
                      <a:t>2.592</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1A1-49BE-9A84-F1E0AA0C0C23}"/>
                </c:ext>
              </c:extLst>
            </c:dLbl>
            <c:dLbl>
              <c:idx val="2"/>
              <c:tx>
                <c:rich>
                  <a:bodyPr/>
                  <a:lstStyle/>
                  <a:p>
                    <a:r>
                      <a:rPr lang="en-US"/>
                      <a:t>2.604</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1A1-49BE-9A84-F1E0AA0C0C23}"/>
                </c:ext>
              </c:extLst>
            </c:dLbl>
            <c:dLbl>
              <c:idx val="3"/>
              <c:tx>
                <c:rich>
                  <a:bodyPr/>
                  <a:lstStyle/>
                  <a:p>
                    <a:r>
                      <a:rPr lang="en-US"/>
                      <a:t>2.640</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1A1-49BE-9A84-F1E0AA0C0C23}"/>
                </c:ext>
              </c:extLst>
            </c:dLbl>
            <c:dLbl>
              <c:idx val="4"/>
              <c:tx>
                <c:rich>
                  <a:bodyPr/>
                  <a:lstStyle/>
                  <a:p>
                    <a:r>
                      <a:rPr lang="en-US"/>
                      <a:t>2.550</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1A1-49BE-9A84-F1E0AA0C0C23}"/>
                </c:ext>
              </c:extLst>
            </c:dLbl>
            <c:dLbl>
              <c:idx val="5"/>
              <c:tx>
                <c:rich>
                  <a:bodyPr/>
                  <a:lstStyle/>
                  <a:p>
                    <a:r>
                      <a:rPr lang="en-US"/>
                      <a:t>2.471</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1A1-49BE-9A84-F1E0AA0C0C23}"/>
                </c:ext>
              </c:extLst>
            </c:dLbl>
            <c:dLbl>
              <c:idx val="6"/>
              <c:tx>
                <c:rich>
                  <a:bodyPr/>
                  <a:lstStyle/>
                  <a:p>
                    <a:r>
                      <a:rPr lang="en-US"/>
                      <a:t>2.489</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1A1-49BE-9A84-F1E0AA0C0C23}"/>
                </c:ext>
              </c:extLst>
            </c:dLbl>
            <c:dLbl>
              <c:idx val="7"/>
              <c:tx>
                <c:rich>
                  <a:bodyPr/>
                  <a:lstStyle/>
                  <a:p>
                    <a:r>
                      <a:rPr lang="en-US"/>
                      <a:t>2.499</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1A1-49BE-9A84-F1E0AA0C0C23}"/>
                </c:ext>
              </c:extLst>
            </c:dLbl>
            <c:dLbl>
              <c:idx val="8"/>
              <c:tx>
                <c:rich>
                  <a:bodyPr/>
                  <a:lstStyle/>
                  <a:p>
                    <a:r>
                      <a:rPr lang="en-US"/>
                      <a:t>2.524</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1A1-49BE-9A84-F1E0AA0C0C23}"/>
                </c:ext>
              </c:extLst>
            </c:dLbl>
            <c:dLbl>
              <c:idx val="9"/>
              <c:tx>
                <c:rich>
                  <a:bodyPr/>
                  <a:lstStyle/>
                  <a:p>
                    <a:r>
                      <a:rPr lang="en-US"/>
                      <a:t>2.564</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1A1-49BE-9A84-F1E0AA0C0C23}"/>
                </c:ext>
              </c:extLst>
            </c:dLbl>
            <c:dLbl>
              <c:idx val="10"/>
              <c:tx>
                <c:rich>
                  <a:bodyPr/>
                  <a:lstStyle/>
                  <a:p>
                    <a:r>
                      <a:rPr lang="en-US"/>
                      <a:t>2.571</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1A1-49BE-9A84-F1E0AA0C0C23}"/>
                </c:ext>
              </c:extLst>
            </c:dLbl>
            <c:dLbl>
              <c:idx val="11"/>
              <c:tx>
                <c:rich>
                  <a:bodyPr/>
                  <a:lstStyle/>
                  <a:p>
                    <a:r>
                      <a:rPr lang="en-US"/>
                      <a:t>2.560</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1A1-49BE-9A84-F1E0AA0C0C23}"/>
                </c:ext>
              </c:extLst>
            </c:dLbl>
            <c:dLbl>
              <c:idx val="12"/>
              <c:tx>
                <c:rich>
                  <a:bodyPr/>
                  <a:lstStyle/>
                  <a:p>
                    <a:r>
                      <a:rPr lang="en-US"/>
                      <a:t>2.328</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1A1-49BE-9A84-F1E0AA0C0C23}"/>
                </c:ext>
              </c:extLst>
            </c:dLbl>
            <c:spPr>
              <a:noFill/>
              <a:ln>
                <a:noFill/>
              </a:ln>
              <a:effectLst/>
            </c:spPr>
            <c:txPr>
              <a:bodyPr/>
              <a:lstStyle/>
              <a:p>
                <a:pPr>
                  <a:defRPr sz="800">
                    <a:latin typeface="Arial Narrow" panose="020B0606020202030204" pitchFamily="34" charset="0"/>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'FIGURA 1'!$B$2:$N$2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'FIGURA 1'!$B$8:$N$8</c:f>
              <c:numCache>
                <c:formatCode>#,##0</c:formatCode>
                <c:ptCount val="13"/>
                <c:pt idx="0">
                  <c:v>2648.0489742999998</c:v>
                </c:pt>
                <c:pt idx="1">
                  <c:v>2592.0304936000002</c:v>
                </c:pt>
                <c:pt idx="2">
                  <c:v>2604.0230812</c:v>
                </c:pt>
                <c:pt idx="3">
                  <c:v>2639.8937823000001</c:v>
                </c:pt>
                <c:pt idx="4">
                  <c:v>2550.2267775</c:v>
                </c:pt>
                <c:pt idx="5">
                  <c:v>2471.0923256999999</c:v>
                </c:pt>
                <c:pt idx="6">
                  <c:v>2488.5</c:v>
                </c:pt>
                <c:pt idx="7">
                  <c:v>2499.37</c:v>
                </c:pt>
                <c:pt idx="8">
                  <c:v>2524.38</c:v>
                </c:pt>
                <c:pt idx="9">
                  <c:v>2563.94</c:v>
                </c:pt>
                <c:pt idx="10">
                  <c:v>2571.2399999999998</c:v>
                </c:pt>
                <c:pt idx="11">
                  <c:v>2559.85</c:v>
                </c:pt>
                <c:pt idx="12">
                  <c:v>2328.23</c:v>
                </c:pt>
              </c:numCache>
            </c:numRef>
          </c:val>
          <c:smooth val="0"/>
          <c:extLst>
            <c:ext xmlns:c16="http://schemas.microsoft.com/office/drawing/2014/chart" uri="{C3380CC4-5D6E-409C-BE32-E72D297353CC}">
              <c16:uniqueId val="{00000012-A1A1-49BE-9A84-F1E0AA0C0C23}"/>
            </c:ext>
          </c:extLst>
        </c:ser>
        <c:dLbls>
          <c:showLegendKey val="0"/>
          <c:showVal val="1"/>
          <c:showCatName val="0"/>
          <c:showSerName val="0"/>
          <c:showPercent val="0"/>
          <c:showBubbleSize val="0"/>
        </c:dLbls>
        <c:smooth val="0"/>
        <c:axId val="176991232"/>
        <c:axId val="178165632"/>
      </c:lineChart>
      <c:catAx>
        <c:axId val="176991232"/>
        <c:scaling>
          <c:orientation val="minMax"/>
        </c:scaling>
        <c:delete val="0"/>
        <c:axPos val="b"/>
        <c:majorGridlines>
          <c:spPr>
            <a:ln>
              <a:solidFill>
                <a:schemeClr val="bg1"/>
              </a:solidFill>
            </a:ln>
          </c:spPr>
        </c:majorGridlines>
        <c:numFmt formatCode="General" sourceLinked="1"/>
        <c:majorTickMark val="out"/>
        <c:minorTickMark val="none"/>
        <c:tickLblPos val="nextTo"/>
        <c:spPr>
          <a:ln>
            <a:noFill/>
          </a:ln>
        </c:spPr>
        <c:txPr>
          <a:bodyPr/>
          <a:lstStyle/>
          <a:p>
            <a:pPr>
              <a:defRPr sz="800" b="1">
                <a:latin typeface="Arial Narrow" panose="020B0606020202030204" pitchFamily="34" charset="0"/>
              </a:defRPr>
            </a:pPr>
            <a:endParaRPr lang="it-IT"/>
          </a:p>
        </c:txPr>
        <c:crossAx val="178165632"/>
        <c:crosses val="autoZero"/>
        <c:auto val="1"/>
        <c:lblAlgn val="ctr"/>
        <c:lblOffset val="100"/>
        <c:noMultiLvlLbl val="0"/>
      </c:catAx>
      <c:valAx>
        <c:axId val="178165632"/>
        <c:scaling>
          <c:orientation val="minMax"/>
          <c:min val="1700"/>
        </c:scaling>
        <c:delete val="1"/>
        <c:axPos val="l"/>
        <c:majorGridlines>
          <c:spPr>
            <a:ln>
              <a:solidFill>
                <a:schemeClr val="bg1"/>
              </a:solidFill>
            </a:ln>
          </c:spPr>
        </c:majorGridlines>
        <c:numFmt formatCode="#,##0" sourceLinked="1"/>
        <c:majorTickMark val="out"/>
        <c:minorTickMark val="none"/>
        <c:tickLblPos val="none"/>
        <c:crossAx val="176991232"/>
        <c:crosses val="autoZero"/>
        <c:crossBetween val="between"/>
      </c:valAx>
      <c:spPr>
        <a:noFill/>
      </c:spPr>
    </c:plotArea>
    <c:legend>
      <c:legendPos val="t"/>
      <c:overlay val="0"/>
      <c:txPr>
        <a:bodyPr/>
        <a:lstStyle/>
        <a:p>
          <a:pPr>
            <a:defRPr sz="800" baseline="0">
              <a:latin typeface="Arial Narrow" panose="020B0606020202030204" pitchFamily="34" charset="0"/>
            </a:defRPr>
          </a:pPr>
          <a:endParaRPr lang="it-IT"/>
        </a:p>
      </c:txPr>
    </c:legend>
    <c:plotVisOnly val="1"/>
    <c:dispBlanksAs val="gap"/>
    <c:showDLblsOverMax val="0"/>
  </c:chart>
  <c:spPr>
    <a:noFill/>
    <a:ln>
      <a:noFill/>
    </a:ln>
  </c:spPr>
  <c:txPr>
    <a:bodyPr/>
    <a:lstStyle/>
    <a:p>
      <a:pPr>
        <a:defRPr sz="700"/>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2020</a:t>
            </a:r>
          </a:p>
        </c:rich>
      </c:tx>
      <c:overlay val="0"/>
    </c:title>
    <c:autoTitleDeleted val="0"/>
    <c:plotArea>
      <c:layout>
        <c:manualLayout>
          <c:layoutTarget val="inner"/>
          <c:xMode val="edge"/>
          <c:yMode val="edge"/>
          <c:x val="0.20790477549467276"/>
          <c:y val="0.19412706983441325"/>
          <c:w val="0.5001723499109566"/>
          <c:h val="0.62626373882920428"/>
        </c:manualLayout>
      </c:layout>
      <c:pieChart>
        <c:varyColors val="1"/>
        <c:ser>
          <c:idx val="0"/>
          <c:order val="0"/>
          <c:tx>
            <c:strRef>
              <c:f>'FIGURA 9'!$B$2</c:f>
              <c:strCache>
                <c:ptCount val="1"/>
                <c:pt idx="0">
                  <c:v>%</c:v>
                </c:pt>
              </c:strCache>
            </c:strRef>
          </c:tx>
          <c:spPr>
            <a:ln>
              <a:noFill/>
            </a:ln>
          </c:spPr>
          <c:dPt>
            <c:idx val="0"/>
            <c:bubble3D val="0"/>
            <c:spPr>
              <a:solidFill>
                <a:srgbClr val="E42618"/>
              </a:solidFill>
              <a:ln>
                <a:noFill/>
              </a:ln>
            </c:spPr>
            <c:extLst>
              <c:ext xmlns:c16="http://schemas.microsoft.com/office/drawing/2014/chart" uri="{C3380CC4-5D6E-409C-BE32-E72D297353CC}">
                <c16:uniqueId val="{00000001-75C2-426E-BEC1-A93C63A4B11D}"/>
              </c:ext>
            </c:extLst>
          </c:dPt>
          <c:dPt>
            <c:idx val="1"/>
            <c:bubble3D val="0"/>
            <c:spPr>
              <a:solidFill>
                <a:srgbClr val="006482"/>
              </a:solidFill>
              <a:ln>
                <a:noFill/>
              </a:ln>
            </c:spPr>
            <c:extLst>
              <c:ext xmlns:c16="http://schemas.microsoft.com/office/drawing/2014/chart" uri="{C3380CC4-5D6E-409C-BE32-E72D297353CC}">
                <c16:uniqueId val="{00000003-75C2-426E-BEC1-A93C63A4B11D}"/>
              </c:ext>
            </c:extLst>
          </c:dPt>
          <c:dPt>
            <c:idx val="2"/>
            <c:bubble3D val="0"/>
            <c:spPr>
              <a:solidFill>
                <a:srgbClr val="9BBB59"/>
              </a:solidFill>
              <a:ln>
                <a:noFill/>
              </a:ln>
            </c:spPr>
            <c:extLst>
              <c:ext xmlns:c16="http://schemas.microsoft.com/office/drawing/2014/chart" uri="{C3380CC4-5D6E-409C-BE32-E72D297353CC}">
                <c16:uniqueId val="{00000005-75C2-426E-BEC1-A93C63A4B11D}"/>
              </c:ext>
            </c:extLst>
          </c:dPt>
          <c:dPt>
            <c:idx val="3"/>
            <c:bubble3D val="0"/>
            <c:spPr>
              <a:solidFill>
                <a:srgbClr val="888888"/>
              </a:solidFill>
              <a:ln>
                <a:noFill/>
              </a:ln>
            </c:spPr>
            <c:extLst>
              <c:ext xmlns:c16="http://schemas.microsoft.com/office/drawing/2014/chart" uri="{C3380CC4-5D6E-409C-BE32-E72D297353CC}">
                <c16:uniqueId val="{00000007-75C2-426E-BEC1-A93C63A4B11D}"/>
              </c:ext>
            </c:extLst>
          </c:dPt>
          <c:dPt>
            <c:idx val="4"/>
            <c:bubble3D val="0"/>
            <c:spPr>
              <a:solidFill>
                <a:srgbClr val="1F497D"/>
              </a:solidFill>
              <a:ln>
                <a:noFill/>
              </a:ln>
            </c:spPr>
            <c:extLst>
              <c:ext xmlns:c16="http://schemas.microsoft.com/office/drawing/2014/chart" uri="{C3380CC4-5D6E-409C-BE32-E72D297353CC}">
                <c16:uniqueId val="{00000009-75C2-426E-BEC1-A93C63A4B11D}"/>
              </c:ext>
            </c:extLst>
          </c:dPt>
          <c:dLbls>
            <c:dLbl>
              <c:idx val="0"/>
              <c:layout>
                <c:manualLayout>
                  <c:x val="9.6984160461619243E-2"/>
                  <c:y val="1.968511154930495E-2"/>
                </c:manualLayout>
              </c:layout>
              <c:tx>
                <c:rich>
                  <a:bodyPr/>
                  <a:lstStyle/>
                  <a:p>
                    <a:fld id="{1792D975-3819-4DB1-9AFA-CB8180BCDB65}" type="CATEGORYNAME">
                      <a:rPr lang="en-US"/>
                      <a:pPr/>
                      <a:t>[NOME CATEGORIA]</a:t>
                    </a:fld>
                    <a:r>
                      <a:rPr lang="en-US" baseline="0"/>
                      <a:t>
8,2%</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75C2-426E-BEC1-A93C63A4B11D}"/>
                </c:ext>
              </c:extLst>
            </c:dLbl>
            <c:dLbl>
              <c:idx val="1"/>
              <c:layout>
                <c:manualLayout>
                  <c:x val="8.5150895813164096E-2"/>
                  <c:y val="0.13844693239726819"/>
                </c:manualLayout>
              </c:layout>
              <c:tx>
                <c:rich>
                  <a:bodyPr/>
                  <a:lstStyle/>
                  <a:p>
                    <a:fld id="{0F6747F2-8E34-42FF-ACC5-CA4C7C27F2E1}" type="CATEGORYNAME">
                      <a:rPr lang="en-US"/>
                      <a:pPr/>
                      <a:t>[NOME CATEGORIA]</a:t>
                    </a:fld>
                    <a:r>
                      <a:rPr lang="en-US" baseline="0"/>
                      <a:t>
12,8%</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75C2-426E-BEC1-A93C63A4B11D}"/>
                </c:ext>
              </c:extLst>
            </c:dLbl>
            <c:dLbl>
              <c:idx val="2"/>
              <c:layout>
                <c:manualLayout>
                  <c:x val="3.7068856299377291E-2"/>
                  <c:y val="9.6727463411509701E-2"/>
                </c:manualLayout>
              </c:layout>
              <c:tx>
                <c:rich>
                  <a:bodyPr/>
                  <a:lstStyle/>
                  <a:p>
                    <a:fld id="{CAE3C8BE-6D5E-4A3C-A639-141F5E29DA73}" type="CATEGORYNAME">
                      <a:rPr lang="en-US"/>
                      <a:pPr/>
                      <a:t>[NOME CATEGORIA]</a:t>
                    </a:fld>
                    <a:r>
                      <a:rPr lang="en-US" baseline="0"/>
                      <a:t>
16,9%</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75C2-426E-BEC1-A93C63A4B11D}"/>
                </c:ext>
              </c:extLst>
            </c:dLbl>
            <c:dLbl>
              <c:idx val="3"/>
              <c:layout>
                <c:manualLayout>
                  <c:x val="-7.9853455088857134E-2"/>
                  <c:y val="2.3033075823736569E-2"/>
                </c:manualLayout>
              </c:layout>
              <c:tx>
                <c:rich>
                  <a:bodyPr/>
                  <a:lstStyle/>
                  <a:p>
                    <a:fld id="{1103A25F-9693-4F7C-AD5A-D14C8E49CE09}" type="CATEGORYNAME">
                      <a:rPr lang="en-US"/>
                      <a:pPr/>
                      <a:t>[NOME CATEGORIA]</a:t>
                    </a:fld>
                    <a:r>
                      <a:rPr lang="en-US" baseline="0"/>
                      <a:t>
22,7%</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75C2-426E-BEC1-A93C63A4B11D}"/>
                </c:ext>
              </c:extLst>
            </c:dLbl>
            <c:dLbl>
              <c:idx val="4"/>
              <c:layout>
                <c:manualLayout>
                  <c:x val="4.6446030095497626E-3"/>
                  <c:y val="-0.11309104426774831"/>
                </c:manualLayout>
              </c:layout>
              <c:tx>
                <c:rich>
                  <a:bodyPr/>
                  <a:lstStyle/>
                  <a:p>
                    <a:fld id="{EC3A7CD0-6E19-4B40-AE79-99C9A8F40F8A}" type="CATEGORYNAME">
                      <a:rPr lang="en-US"/>
                      <a:pPr/>
                      <a:t>[NOME CATEGORIA]</a:t>
                    </a:fld>
                    <a:r>
                      <a:rPr lang="en-US" baseline="0"/>
                      <a:t>
39,5%</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75C2-426E-BEC1-A93C63A4B11D}"/>
                </c:ext>
              </c:extLst>
            </c:dLbl>
            <c:numFmt formatCode="#,##0.0" sourceLinked="0"/>
            <c:spPr>
              <a:noFill/>
              <a:ln>
                <a:noFill/>
              </a:ln>
              <a:effectLst/>
            </c:spPr>
            <c:txPr>
              <a:bodyPr/>
              <a:lstStyle/>
              <a:p>
                <a:pPr>
                  <a:defRPr sz="800" b="0">
                    <a:solidFill>
                      <a:sysClr val="windowText" lastClr="000000"/>
                    </a:solidFill>
                  </a:defRPr>
                </a:pPr>
                <a:endParaRPr lang="it-IT"/>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'FIGURA 9'!$A$4:$A$8</c:f>
              <c:strCache>
                <c:ptCount val="5"/>
                <c:pt idx="0">
                  <c:v>Primo quinto</c:v>
                </c:pt>
                <c:pt idx="1">
                  <c:v>Secondo quinto</c:v>
                </c:pt>
                <c:pt idx="2">
                  <c:v>Terzo quinto</c:v>
                </c:pt>
                <c:pt idx="3">
                  <c:v>Quarto quinto</c:v>
                </c:pt>
                <c:pt idx="4">
                  <c:v>Quinto quinto</c:v>
                </c:pt>
              </c:strCache>
            </c:strRef>
          </c:cat>
          <c:val>
            <c:numRef>
              <c:f>'FIGURA 9'!$D$4:$D$8</c:f>
              <c:numCache>
                <c:formatCode>0.0</c:formatCode>
                <c:ptCount val="5"/>
                <c:pt idx="0">
                  <c:v>8.1931409533031285</c:v>
                </c:pt>
                <c:pt idx="1">
                  <c:v>12.750234967471592</c:v>
                </c:pt>
                <c:pt idx="2">
                  <c:v>16.872692624489513</c:v>
                </c:pt>
                <c:pt idx="3">
                  <c:v>22.655490555351914</c:v>
                </c:pt>
                <c:pt idx="4">
                  <c:v>39.528440899383845</c:v>
                </c:pt>
              </c:numCache>
            </c:numRef>
          </c:val>
          <c:extLst>
            <c:ext xmlns:c16="http://schemas.microsoft.com/office/drawing/2014/chart" uri="{C3380CC4-5D6E-409C-BE32-E72D297353CC}">
              <c16:uniqueId val="{0000000A-75C2-426E-BEC1-A93C63A4B11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it-IT" sz="900"/>
              <a:t>2013</a:t>
            </a:r>
          </a:p>
        </c:rich>
      </c:tx>
      <c:overlay val="0"/>
    </c:title>
    <c:autoTitleDeleted val="0"/>
    <c:plotArea>
      <c:layout>
        <c:manualLayout>
          <c:layoutTarget val="inner"/>
          <c:xMode val="edge"/>
          <c:yMode val="edge"/>
          <c:x val="0.24123176599676049"/>
          <c:y val="0.18398821170963781"/>
          <c:w val="0.49527519035563133"/>
          <c:h val="0.62507673419275633"/>
        </c:manualLayout>
      </c:layout>
      <c:pieChart>
        <c:varyColors val="1"/>
        <c:ser>
          <c:idx val="0"/>
          <c:order val="0"/>
          <c:spPr>
            <a:ln>
              <a:noFill/>
            </a:ln>
          </c:spPr>
          <c:dPt>
            <c:idx val="0"/>
            <c:bubble3D val="0"/>
            <c:spPr>
              <a:solidFill>
                <a:srgbClr val="E42618"/>
              </a:solidFill>
              <a:ln>
                <a:noFill/>
              </a:ln>
            </c:spPr>
            <c:extLst>
              <c:ext xmlns:c16="http://schemas.microsoft.com/office/drawing/2014/chart" uri="{C3380CC4-5D6E-409C-BE32-E72D297353CC}">
                <c16:uniqueId val="{00000001-0E01-4C09-A677-D51D84DD5684}"/>
              </c:ext>
            </c:extLst>
          </c:dPt>
          <c:dPt>
            <c:idx val="1"/>
            <c:bubble3D val="0"/>
            <c:spPr>
              <a:solidFill>
                <a:srgbClr val="006482"/>
              </a:solidFill>
              <a:ln>
                <a:noFill/>
              </a:ln>
            </c:spPr>
            <c:extLst>
              <c:ext xmlns:c16="http://schemas.microsoft.com/office/drawing/2014/chart" uri="{C3380CC4-5D6E-409C-BE32-E72D297353CC}">
                <c16:uniqueId val="{00000003-0E01-4C09-A677-D51D84DD5684}"/>
              </c:ext>
            </c:extLst>
          </c:dPt>
          <c:dPt>
            <c:idx val="2"/>
            <c:bubble3D val="0"/>
            <c:spPr>
              <a:solidFill>
                <a:srgbClr val="9BBB59"/>
              </a:solidFill>
              <a:ln>
                <a:noFill/>
              </a:ln>
            </c:spPr>
            <c:extLst>
              <c:ext xmlns:c16="http://schemas.microsoft.com/office/drawing/2014/chart" uri="{C3380CC4-5D6E-409C-BE32-E72D297353CC}">
                <c16:uniqueId val="{00000005-0E01-4C09-A677-D51D84DD5684}"/>
              </c:ext>
            </c:extLst>
          </c:dPt>
          <c:dPt>
            <c:idx val="3"/>
            <c:bubble3D val="0"/>
            <c:spPr>
              <a:solidFill>
                <a:srgbClr val="888888"/>
              </a:solidFill>
              <a:ln>
                <a:noFill/>
              </a:ln>
            </c:spPr>
            <c:extLst>
              <c:ext xmlns:c16="http://schemas.microsoft.com/office/drawing/2014/chart" uri="{C3380CC4-5D6E-409C-BE32-E72D297353CC}">
                <c16:uniqueId val="{00000007-0E01-4C09-A677-D51D84DD5684}"/>
              </c:ext>
            </c:extLst>
          </c:dPt>
          <c:dPt>
            <c:idx val="4"/>
            <c:bubble3D val="0"/>
            <c:spPr>
              <a:solidFill>
                <a:srgbClr val="1F497D"/>
              </a:solidFill>
              <a:ln>
                <a:noFill/>
              </a:ln>
            </c:spPr>
            <c:extLst>
              <c:ext xmlns:c16="http://schemas.microsoft.com/office/drawing/2014/chart" uri="{C3380CC4-5D6E-409C-BE32-E72D297353CC}">
                <c16:uniqueId val="{00000009-0E01-4C09-A677-D51D84DD5684}"/>
              </c:ext>
            </c:extLst>
          </c:dPt>
          <c:dLbls>
            <c:dLbl>
              <c:idx val="0"/>
              <c:layout>
                <c:manualLayout>
                  <c:x val="0.13082326042709891"/>
                  <c:y val="1.7333350075256766E-3"/>
                </c:manualLayout>
              </c:layout>
              <c:tx>
                <c:rich>
                  <a:bodyPr/>
                  <a:lstStyle/>
                  <a:p>
                    <a:fld id="{19F1D44F-E919-42C3-990D-F8270118AC6F}" type="CATEGORYNAME">
                      <a:rPr lang="en-US"/>
                      <a:pPr/>
                      <a:t>[NOME CATEGORIA]</a:t>
                    </a:fld>
                    <a:r>
                      <a:rPr lang="en-US" baseline="0"/>
                      <a:t>
8,1%</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0E01-4C09-A677-D51D84DD5684}"/>
                </c:ext>
              </c:extLst>
            </c:dLbl>
            <c:dLbl>
              <c:idx val="1"/>
              <c:layout>
                <c:manualLayout>
                  <c:x val="6.9607028286090347E-2"/>
                  <c:y val="9.6020744133936145E-2"/>
                </c:manualLayout>
              </c:layout>
              <c:tx>
                <c:rich>
                  <a:bodyPr/>
                  <a:lstStyle/>
                  <a:p>
                    <a:fld id="{C41C1060-CE3B-4D35-AABA-2220AD7F56A3}" type="CATEGORYNAME">
                      <a:rPr lang="en-US"/>
                      <a:pPr/>
                      <a:t>[NOME CATEGORIA]</a:t>
                    </a:fld>
                    <a:r>
                      <a:rPr lang="en-US" baseline="0"/>
                      <a:t>
12,9%</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0E01-4C09-A677-D51D84DD5684}"/>
                </c:ext>
              </c:extLst>
            </c:dLbl>
            <c:dLbl>
              <c:idx val="2"/>
              <c:layout>
                <c:manualLayout>
                  <c:x val="5.2882525300495097E-3"/>
                  <c:y val="0.1555306489114929"/>
                </c:manualLayout>
              </c:layout>
              <c:tx>
                <c:rich>
                  <a:bodyPr/>
                  <a:lstStyle/>
                  <a:p>
                    <a:fld id="{2A211B1A-9185-491A-9A0E-C317BCCFEB08}" type="CATEGORYNAME">
                      <a:rPr lang="en-US"/>
                      <a:pPr/>
                      <a:t>[NOME CATEGORIA]</a:t>
                    </a:fld>
                    <a:r>
                      <a:rPr lang="en-US" baseline="0"/>
                      <a:t>
17,2%</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0E01-4C09-A677-D51D84DD5684}"/>
                </c:ext>
              </c:extLst>
            </c:dLbl>
            <c:dLbl>
              <c:idx val="3"/>
              <c:layout>
                <c:manualLayout>
                  <c:x val="-0.11548925337519858"/>
                  <c:y val="2.0332517254861853E-3"/>
                </c:manualLayout>
              </c:layout>
              <c:tx>
                <c:rich>
                  <a:bodyPr/>
                  <a:lstStyle/>
                  <a:p>
                    <a:fld id="{3512138F-1D2D-4307-BCA6-DA0F5C76229F}" type="CATEGORYNAME">
                      <a:rPr lang="en-US"/>
                      <a:pPr/>
                      <a:t>[NOME CATEGORIA]</a:t>
                    </a:fld>
                    <a:r>
                      <a:rPr lang="en-US" baseline="0"/>
                      <a:t>
23,2%</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0E01-4C09-A677-D51D84DD5684}"/>
                </c:ext>
              </c:extLst>
            </c:dLbl>
            <c:dLbl>
              <c:idx val="4"/>
              <c:layout>
                <c:manualLayout>
                  <c:x val="-2.2480726937637453E-2"/>
                  <c:y val="-2.422222701810927E-2"/>
                </c:manualLayout>
              </c:layout>
              <c:tx>
                <c:rich>
                  <a:bodyPr/>
                  <a:lstStyle/>
                  <a:p>
                    <a:fld id="{734F82B4-BD5A-4416-9CA1-D3B2E0D1E739}" type="CATEGORYNAME">
                      <a:rPr lang="en-US"/>
                      <a:pPr/>
                      <a:t>[NOME CATEGORIA]</a:t>
                    </a:fld>
                    <a:r>
                      <a:rPr lang="en-US" baseline="0"/>
                      <a:t>
38,5%</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0E01-4C09-A677-D51D84DD5684}"/>
                </c:ext>
              </c:extLst>
            </c:dLbl>
            <c:numFmt formatCode="#,##0.0" sourceLinked="0"/>
            <c:spPr>
              <a:noFill/>
              <a:ln>
                <a:noFill/>
              </a:ln>
              <a:effectLst/>
            </c:spPr>
            <c:txPr>
              <a:bodyPr/>
              <a:lstStyle/>
              <a:p>
                <a:pPr>
                  <a:defRPr sz="800" b="0">
                    <a:solidFill>
                      <a:sysClr val="windowText" lastClr="000000"/>
                    </a:solidFill>
                  </a:defRPr>
                </a:pPr>
                <a:endParaRPr lang="it-IT"/>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'FIGURA 9'!$A$4:$A$8</c:f>
              <c:strCache>
                <c:ptCount val="5"/>
                <c:pt idx="0">
                  <c:v>Primo quinto</c:v>
                </c:pt>
                <c:pt idx="1">
                  <c:v>Secondo quinto</c:v>
                </c:pt>
                <c:pt idx="2">
                  <c:v>Terzo quinto</c:v>
                </c:pt>
                <c:pt idx="3">
                  <c:v>Quarto quinto</c:v>
                </c:pt>
                <c:pt idx="4">
                  <c:v>Quinto quinto</c:v>
                </c:pt>
              </c:strCache>
            </c:strRef>
          </c:cat>
          <c:val>
            <c:numRef>
              <c:f>'FIGURA 9'!$B$4:$B$8</c:f>
              <c:numCache>
                <c:formatCode>0.0</c:formatCode>
                <c:ptCount val="5"/>
                <c:pt idx="0">
                  <c:v>8.0857201410064619</c:v>
                </c:pt>
                <c:pt idx="1">
                  <c:v>12.908376787308482</c:v>
                </c:pt>
                <c:pt idx="2">
                  <c:v>17.228550573521805</c:v>
                </c:pt>
                <c:pt idx="3">
                  <c:v>23.235464542139205</c:v>
                </c:pt>
                <c:pt idx="4">
                  <c:v>38.541887956024048</c:v>
                </c:pt>
              </c:numCache>
            </c:numRef>
          </c:val>
          <c:extLst>
            <c:ext xmlns:c16="http://schemas.microsoft.com/office/drawing/2014/chart" uri="{C3380CC4-5D6E-409C-BE32-E72D297353CC}">
              <c16:uniqueId val="{0000000A-0E01-4C09-A677-D51D84DD568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it-IT" sz="900"/>
              <a:t>Prezzi correnti</a:t>
            </a:r>
          </a:p>
        </c:rich>
      </c:tx>
      <c:layout>
        <c:manualLayout>
          <c:xMode val="edge"/>
          <c:yMode val="edge"/>
          <c:x val="0.38662469971825569"/>
          <c:y val="5.3451178451178454E-3"/>
        </c:manualLayout>
      </c:layout>
      <c:overlay val="0"/>
    </c:title>
    <c:autoTitleDeleted val="0"/>
    <c:plotArea>
      <c:layout>
        <c:manualLayout>
          <c:layoutTarget val="inner"/>
          <c:xMode val="edge"/>
          <c:yMode val="edge"/>
          <c:x val="9.0763052461093313E-2"/>
          <c:y val="0.29024915824915826"/>
          <c:w val="0.88230682960579343"/>
          <c:h val="0.58701557239057234"/>
        </c:manualLayout>
      </c:layout>
      <c:lineChart>
        <c:grouping val="standard"/>
        <c:varyColors val="0"/>
        <c:ser>
          <c:idx val="0"/>
          <c:order val="0"/>
          <c:tx>
            <c:strRef>
              <c:f>'FIGURA 8'!$A$4</c:f>
              <c:strCache>
                <c:ptCount val="1"/>
                <c:pt idx="0">
                  <c:v>Primo quinto</c:v>
                </c:pt>
              </c:strCache>
            </c:strRef>
          </c:tx>
          <c:spPr>
            <a:ln>
              <a:solidFill>
                <a:srgbClr val="1F497D"/>
              </a:solidFill>
              <a:prstDash val="solid"/>
            </a:ln>
          </c:spPr>
          <c:marker>
            <c:symbol val="none"/>
          </c:marker>
          <c:cat>
            <c:strRef>
              <c:f>'FIGURA 8'!$B$2:$I$3</c:f>
              <c:strCache>
                <c:ptCount val="8"/>
                <c:pt idx="0">
                  <c:v>2013</c:v>
                </c:pt>
                <c:pt idx="1">
                  <c:v>2014</c:v>
                </c:pt>
                <c:pt idx="2">
                  <c:v>2015</c:v>
                </c:pt>
                <c:pt idx="3">
                  <c:v>2016</c:v>
                </c:pt>
                <c:pt idx="4">
                  <c:v>2017</c:v>
                </c:pt>
                <c:pt idx="5">
                  <c:v>2018</c:v>
                </c:pt>
                <c:pt idx="6">
                  <c:v>2019</c:v>
                </c:pt>
                <c:pt idx="7">
                  <c:v>2020</c:v>
                </c:pt>
              </c:strCache>
            </c:strRef>
          </c:cat>
          <c:val>
            <c:numRef>
              <c:f>'FIGURA 8'!$B$4:$I$4</c:f>
              <c:numCache>
                <c:formatCode>0.0</c:formatCode>
                <c:ptCount val="8"/>
                <c:pt idx="0">
                  <c:v>100</c:v>
                </c:pt>
                <c:pt idx="1">
                  <c:v>101.11611215862781</c:v>
                </c:pt>
                <c:pt idx="2">
                  <c:v>101.04413762342112</c:v>
                </c:pt>
                <c:pt idx="3">
                  <c:v>100.96709445897451</c:v>
                </c:pt>
                <c:pt idx="4">
                  <c:v>98.723719157391074</c:v>
                </c:pt>
                <c:pt idx="5">
                  <c:v>100.62648257405267</c:v>
                </c:pt>
                <c:pt idx="6">
                  <c:v>101.99805364637187</c:v>
                </c:pt>
                <c:pt idx="7">
                  <c:v>97.697828599233617</c:v>
                </c:pt>
              </c:numCache>
            </c:numRef>
          </c:val>
          <c:smooth val="0"/>
          <c:extLst>
            <c:ext xmlns:c16="http://schemas.microsoft.com/office/drawing/2014/chart" uri="{C3380CC4-5D6E-409C-BE32-E72D297353CC}">
              <c16:uniqueId val="{00000000-F502-4BC3-9F06-C8B05A617DC8}"/>
            </c:ext>
          </c:extLst>
        </c:ser>
        <c:ser>
          <c:idx val="1"/>
          <c:order val="1"/>
          <c:tx>
            <c:strRef>
              <c:f>'FIGURA 8'!$A$5</c:f>
              <c:strCache>
                <c:ptCount val="1"/>
                <c:pt idx="0">
                  <c:v>Secondo quinto</c:v>
                </c:pt>
              </c:strCache>
            </c:strRef>
          </c:tx>
          <c:spPr>
            <a:ln>
              <a:solidFill>
                <a:srgbClr val="E42618"/>
              </a:solidFill>
              <a:prstDash val="solid"/>
            </a:ln>
          </c:spPr>
          <c:marker>
            <c:symbol val="none"/>
          </c:marker>
          <c:cat>
            <c:strRef>
              <c:f>'FIGURA 8'!$B$2:$I$3</c:f>
              <c:strCache>
                <c:ptCount val="8"/>
                <c:pt idx="0">
                  <c:v>2013</c:v>
                </c:pt>
                <c:pt idx="1">
                  <c:v>2014</c:v>
                </c:pt>
                <c:pt idx="2">
                  <c:v>2015</c:v>
                </c:pt>
                <c:pt idx="3">
                  <c:v>2016</c:v>
                </c:pt>
                <c:pt idx="4">
                  <c:v>2017</c:v>
                </c:pt>
                <c:pt idx="5">
                  <c:v>2018</c:v>
                </c:pt>
                <c:pt idx="6">
                  <c:v>2019</c:v>
                </c:pt>
                <c:pt idx="7">
                  <c:v>2020</c:v>
                </c:pt>
              </c:strCache>
            </c:strRef>
          </c:cat>
          <c:val>
            <c:numRef>
              <c:f>'FIGURA 8'!$B$5:$I$5</c:f>
              <c:numCache>
                <c:formatCode>0.0</c:formatCode>
                <c:ptCount val="8"/>
                <c:pt idx="0">
                  <c:v>100</c:v>
                </c:pt>
                <c:pt idx="1">
                  <c:v>99.772500524265539</c:v>
                </c:pt>
                <c:pt idx="2">
                  <c:v>100.53951691312442</c:v>
                </c:pt>
                <c:pt idx="3">
                  <c:v>102.04304696783868</c:v>
                </c:pt>
                <c:pt idx="4">
                  <c:v>101.44887934266632</c:v>
                </c:pt>
                <c:pt idx="5">
                  <c:v>101.84986305548318</c:v>
                </c:pt>
                <c:pt idx="6">
                  <c:v>103.81601774241722</c:v>
                </c:pt>
                <c:pt idx="7">
                  <c:v>95.23585595089061</c:v>
                </c:pt>
              </c:numCache>
            </c:numRef>
          </c:val>
          <c:smooth val="0"/>
          <c:extLst>
            <c:ext xmlns:c16="http://schemas.microsoft.com/office/drawing/2014/chart" uri="{C3380CC4-5D6E-409C-BE32-E72D297353CC}">
              <c16:uniqueId val="{00000001-F502-4BC3-9F06-C8B05A617DC8}"/>
            </c:ext>
          </c:extLst>
        </c:ser>
        <c:ser>
          <c:idx val="2"/>
          <c:order val="2"/>
          <c:tx>
            <c:strRef>
              <c:f>'FIGURA 8'!$A$6</c:f>
              <c:strCache>
                <c:ptCount val="1"/>
                <c:pt idx="0">
                  <c:v>Terzo quinto</c:v>
                </c:pt>
              </c:strCache>
            </c:strRef>
          </c:tx>
          <c:spPr>
            <a:ln>
              <a:solidFill>
                <a:srgbClr val="9BBB59"/>
              </a:solidFill>
              <a:prstDash val="solid"/>
            </a:ln>
          </c:spPr>
          <c:marker>
            <c:symbol val="none"/>
          </c:marker>
          <c:cat>
            <c:strRef>
              <c:f>'FIGURA 8'!$B$2:$I$3</c:f>
              <c:strCache>
                <c:ptCount val="8"/>
                <c:pt idx="0">
                  <c:v>2013</c:v>
                </c:pt>
                <c:pt idx="1">
                  <c:v>2014</c:v>
                </c:pt>
                <c:pt idx="2">
                  <c:v>2015</c:v>
                </c:pt>
                <c:pt idx="3">
                  <c:v>2016</c:v>
                </c:pt>
                <c:pt idx="4">
                  <c:v>2017</c:v>
                </c:pt>
                <c:pt idx="5">
                  <c:v>2018</c:v>
                </c:pt>
                <c:pt idx="6">
                  <c:v>2019</c:v>
                </c:pt>
                <c:pt idx="7">
                  <c:v>2020</c:v>
                </c:pt>
              </c:strCache>
            </c:strRef>
          </c:cat>
          <c:val>
            <c:numRef>
              <c:f>'FIGURA 8'!$B$6:$I$6</c:f>
              <c:numCache>
                <c:formatCode>0.0</c:formatCode>
                <c:ptCount val="8"/>
                <c:pt idx="0">
                  <c:v>100</c:v>
                </c:pt>
                <c:pt idx="1">
                  <c:v>98.93224893581602</c:v>
                </c:pt>
                <c:pt idx="2">
                  <c:v>100.61021140995459</c:v>
                </c:pt>
                <c:pt idx="3">
                  <c:v>101.36358231671063</c:v>
                </c:pt>
                <c:pt idx="4">
                  <c:v>102.75522579724618</c:v>
                </c:pt>
                <c:pt idx="5">
                  <c:v>103.51335283346413</c:v>
                </c:pt>
                <c:pt idx="6">
                  <c:v>104.23866257639531</c:v>
                </c:pt>
                <c:pt idx="7">
                  <c:v>94.393474590378347</c:v>
                </c:pt>
              </c:numCache>
            </c:numRef>
          </c:val>
          <c:smooth val="0"/>
          <c:extLst>
            <c:ext xmlns:c16="http://schemas.microsoft.com/office/drawing/2014/chart" uri="{C3380CC4-5D6E-409C-BE32-E72D297353CC}">
              <c16:uniqueId val="{00000002-F502-4BC3-9F06-C8B05A617DC8}"/>
            </c:ext>
          </c:extLst>
        </c:ser>
        <c:ser>
          <c:idx val="3"/>
          <c:order val="3"/>
          <c:tx>
            <c:strRef>
              <c:f>'FIGURA 8'!$A$7</c:f>
              <c:strCache>
                <c:ptCount val="1"/>
                <c:pt idx="0">
                  <c:v>Quarto quinto</c:v>
                </c:pt>
              </c:strCache>
            </c:strRef>
          </c:tx>
          <c:spPr>
            <a:ln>
              <a:solidFill>
                <a:srgbClr val="666699"/>
              </a:solidFill>
              <a:prstDash val="solid"/>
            </a:ln>
          </c:spPr>
          <c:marker>
            <c:symbol val="none"/>
          </c:marker>
          <c:cat>
            <c:strRef>
              <c:f>'FIGURA 8'!$B$2:$I$3</c:f>
              <c:strCache>
                <c:ptCount val="8"/>
                <c:pt idx="0">
                  <c:v>2013</c:v>
                </c:pt>
                <c:pt idx="1">
                  <c:v>2014</c:v>
                </c:pt>
                <c:pt idx="2">
                  <c:v>2015</c:v>
                </c:pt>
                <c:pt idx="3">
                  <c:v>2016</c:v>
                </c:pt>
                <c:pt idx="4">
                  <c:v>2017</c:v>
                </c:pt>
                <c:pt idx="5">
                  <c:v>2018</c:v>
                </c:pt>
                <c:pt idx="6">
                  <c:v>2019</c:v>
                </c:pt>
                <c:pt idx="7">
                  <c:v>2020</c:v>
                </c:pt>
              </c:strCache>
            </c:strRef>
          </c:cat>
          <c:val>
            <c:numRef>
              <c:f>'FIGURA 8'!$B$7:$I$7</c:f>
              <c:numCache>
                <c:formatCode>0.0</c:formatCode>
                <c:ptCount val="8"/>
                <c:pt idx="0">
                  <c:v>100</c:v>
                </c:pt>
                <c:pt idx="1">
                  <c:v>99.293076809109564</c:v>
                </c:pt>
                <c:pt idx="2">
                  <c:v>101.3055502642143</c:v>
                </c:pt>
                <c:pt idx="3">
                  <c:v>101.33906209212577</c:v>
                </c:pt>
                <c:pt idx="4">
                  <c:v>103.56318919719769</c:v>
                </c:pt>
                <c:pt idx="5">
                  <c:v>103.98543822888226</c:v>
                </c:pt>
                <c:pt idx="6">
                  <c:v>103.32437332881806</c:v>
                </c:pt>
                <c:pt idx="7">
                  <c:v>93.949880415687758</c:v>
                </c:pt>
              </c:numCache>
            </c:numRef>
          </c:val>
          <c:smooth val="0"/>
          <c:extLst>
            <c:ext xmlns:c16="http://schemas.microsoft.com/office/drawing/2014/chart" uri="{C3380CC4-5D6E-409C-BE32-E72D297353CC}">
              <c16:uniqueId val="{00000003-F502-4BC3-9F06-C8B05A617DC8}"/>
            </c:ext>
          </c:extLst>
        </c:ser>
        <c:ser>
          <c:idx val="4"/>
          <c:order val="4"/>
          <c:tx>
            <c:strRef>
              <c:f>'FIGURA 8'!$A$8</c:f>
              <c:strCache>
                <c:ptCount val="1"/>
                <c:pt idx="0">
                  <c:v>Quinto quinto</c:v>
                </c:pt>
              </c:strCache>
            </c:strRef>
          </c:tx>
          <c:spPr>
            <a:ln>
              <a:solidFill>
                <a:srgbClr val="006482"/>
              </a:solidFill>
              <a:prstDash val="solid"/>
            </a:ln>
          </c:spPr>
          <c:marker>
            <c:symbol val="none"/>
          </c:marker>
          <c:cat>
            <c:strRef>
              <c:f>'FIGURA 8'!$B$2:$I$3</c:f>
              <c:strCache>
                <c:ptCount val="8"/>
                <c:pt idx="0">
                  <c:v>2013</c:v>
                </c:pt>
                <c:pt idx="1">
                  <c:v>2014</c:v>
                </c:pt>
                <c:pt idx="2">
                  <c:v>2015</c:v>
                </c:pt>
                <c:pt idx="3">
                  <c:v>2016</c:v>
                </c:pt>
                <c:pt idx="4">
                  <c:v>2017</c:v>
                </c:pt>
                <c:pt idx="5">
                  <c:v>2018</c:v>
                </c:pt>
                <c:pt idx="6">
                  <c:v>2019</c:v>
                </c:pt>
                <c:pt idx="7">
                  <c:v>2020</c:v>
                </c:pt>
              </c:strCache>
            </c:strRef>
          </c:cat>
          <c:val>
            <c:numRef>
              <c:f>'FIGURA 8'!$B$8:$I$8</c:f>
              <c:numCache>
                <c:formatCode>0.0</c:formatCode>
                <c:ptCount val="8"/>
                <c:pt idx="0">
                  <c:v>100</c:v>
                </c:pt>
                <c:pt idx="1">
                  <c:v>103.03760479449433</c:v>
                </c:pt>
                <c:pt idx="2">
                  <c:v>103.02612046634879</c:v>
                </c:pt>
                <c:pt idx="3">
                  <c:v>105.0601225845693</c:v>
                </c:pt>
                <c:pt idx="4">
                  <c:v>108.24574760849499</c:v>
                </c:pt>
                <c:pt idx="5">
                  <c:v>106.90123052449351</c:v>
                </c:pt>
                <c:pt idx="6">
                  <c:v>107.13878597891136</c:v>
                </c:pt>
                <c:pt idx="7">
                  <c:v>98.898142516258829</c:v>
                </c:pt>
              </c:numCache>
            </c:numRef>
          </c:val>
          <c:smooth val="0"/>
          <c:extLst>
            <c:ext xmlns:c16="http://schemas.microsoft.com/office/drawing/2014/chart" uri="{C3380CC4-5D6E-409C-BE32-E72D297353CC}">
              <c16:uniqueId val="{00000004-F502-4BC3-9F06-C8B05A617DC8}"/>
            </c:ext>
          </c:extLst>
        </c:ser>
        <c:ser>
          <c:idx val="5"/>
          <c:order val="5"/>
          <c:tx>
            <c:strRef>
              <c:f>'FIGURA 8'!$A$9</c:f>
              <c:strCache>
                <c:ptCount val="1"/>
                <c:pt idx="0">
                  <c:v>Totale famiglie</c:v>
                </c:pt>
              </c:strCache>
            </c:strRef>
          </c:tx>
          <c:spPr>
            <a:ln>
              <a:solidFill>
                <a:srgbClr val="CC6600"/>
              </a:solidFill>
            </a:ln>
          </c:spPr>
          <c:marker>
            <c:symbol val="square"/>
            <c:size val="5"/>
            <c:spPr>
              <a:solidFill>
                <a:srgbClr val="CC6600"/>
              </a:solidFill>
              <a:ln>
                <a:solidFill>
                  <a:srgbClr val="CC6600"/>
                </a:solidFill>
              </a:ln>
            </c:spPr>
          </c:marker>
          <c:cat>
            <c:strRef>
              <c:f>'FIGURA 8'!$B$2:$I$3</c:f>
              <c:strCache>
                <c:ptCount val="8"/>
                <c:pt idx="0">
                  <c:v>2013</c:v>
                </c:pt>
                <c:pt idx="1">
                  <c:v>2014</c:v>
                </c:pt>
                <c:pt idx="2">
                  <c:v>2015</c:v>
                </c:pt>
                <c:pt idx="3">
                  <c:v>2016</c:v>
                </c:pt>
                <c:pt idx="4">
                  <c:v>2017</c:v>
                </c:pt>
                <c:pt idx="5">
                  <c:v>2018</c:v>
                </c:pt>
                <c:pt idx="6">
                  <c:v>2019</c:v>
                </c:pt>
                <c:pt idx="7">
                  <c:v>2020</c:v>
                </c:pt>
              </c:strCache>
            </c:strRef>
          </c:cat>
          <c:val>
            <c:numRef>
              <c:f>'FIGURA 8'!$B$9:$I$9</c:f>
              <c:numCache>
                <c:formatCode>0.0</c:formatCode>
                <c:ptCount val="8"/>
                <c:pt idx="0">
                  <c:v>100</c:v>
                </c:pt>
                <c:pt idx="1">
                  <c:v>100.88818755635707</c:v>
                </c:pt>
                <c:pt idx="2">
                  <c:v>101.71735388146568</c:v>
                </c:pt>
                <c:pt idx="3">
                  <c:v>102.83793753586359</c:v>
                </c:pt>
                <c:pt idx="4">
                  <c:v>104.57250594311009</c:v>
                </c:pt>
                <c:pt idx="5">
                  <c:v>104.48725305352897</c:v>
                </c:pt>
                <c:pt idx="6">
                  <c:v>104.9159767194032</c:v>
                </c:pt>
                <c:pt idx="7">
                  <c:v>96.400524633166654</c:v>
                </c:pt>
              </c:numCache>
            </c:numRef>
          </c:val>
          <c:smooth val="0"/>
          <c:extLst>
            <c:ext xmlns:c16="http://schemas.microsoft.com/office/drawing/2014/chart" uri="{C3380CC4-5D6E-409C-BE32-E72D297353CC}">
              <c16:uniqueId val="{00000005-F502-4BC3-9F06-C8B05A617DC8}"/>
            </c:ext>
          </c:extLst>
        </c:ser>
        <c:dLbls>
          <c:showLegendKey val="0"/>
          <c:showVal val="0"/>
          <c:showCatName val="0"/>
          <c:showSerName val="0"/>
          <c:showPercent val="0"/>
          <c:showBubbleSize val="0"/>
        </c:dLbls>
        <c:smooth val="0"/>
        <c:axId val="201911296"/>
        <c:axId val="201659136"/>
      </c:lineChart>
      <c:catAx>
        <c:axId val="201911296"/>
        <c:scaling>
          <c:orientation val="minMax"/>
        </c:scaling>
        <c:delete val="0"/>
        <c:axPos val="b"/>
        <c:majorGridlines>
          <c:spPr>
            <a:ln>
              <a:solidFill>
                <a:schemeClr val="bg1"/>
              </a:solidFill>
            </a:ln>
          </c:spPr>
        </c:majorGridlines>
        <c:numFmt formatCode="General" sourceLinked="1"/>
        <c:majorTickMark val="out"/>
        <c:minorTickMark val="none"/>
        <c:tickLblPos val="nextTo"/>
        <c:spPr>
          <a:ln>
            <a:noFill/>
          </a:ln>
        </c:spPr>
        <c:txPr>
          <a:bodyPr/>
          <a:lstStyle/>
          <a:p>
            <a:pPr>
              <a:defRPr sz="800" b="1"/>
            </a:pPr>
            <a:endParaRPr lang="it-IT"/>
          </a:p>
        </c:txPr>
        <c:crossAx val="201659136"/>
        <c:crosses val="autoZero"/>
        <c:auto val="1"/>
        <c:lblAlgn val="ctr"/>
        <c:lblOffset val="100"/>
        <c:noMultiLvlLbl val="0"/>
      </c:catAx>
      <c:valAx>
        <c:axId val="201659136"/>
        <c:scaling>
          <c:orientation val="minMax"/>
          <c:max val="110"/>
          <c:min val="90"/>
        </c:scaling>
        <c:delete val="0"/>
        <c:axPos val="l"/>
        <c:majorGridlines>
          <c:spPr>
            <a:ln>
              <a:solidFill>
                <a:schemeClr val="bg1"/>
              </a:solidFill>
            </a:ln>
          </c:spPr>
        </c:majorGridlines>
        <c:numFmt formatCode="0" sourceLinked="0"/>
        <c:majorTickMark val="out"/>
        <c:minorTickMark val="none"/>
        <c:tickLblPos val="nextTo"/>
        <c:spPr>
          <a:ln>
            <a:noFill/>
          </a:ln>
        </c:spPr>
        <c:txPr>
          <a:bodyPr/>
          <a:lstStyle/>
          <a:p>
            <a:pPr>
              <a:defRPr sz="900"/>
            </a:pPr>
            <a:endParaRPr lang="it-IT"/>
          </a:p>
        </c:txPr>
        <c:crossAx val="201911296"/>
        <c:crosses val="autoZero"/>
        <c:crossBetween val="between"/>
        <c:majorUnit val="2"/>
      </c:valAx>
      <c:spPr>
        <a:noFill/>
      </c:spPr>
    </c:plotArea>
    <c:legend>
      <c:legendPos val="t"/>
      <c:layout>
        <c:manualLayout>
          <c:xMode val="edge"/>
          <c:yMode val="edge"/>
          <c:x val="7.620443247103649E-2"/>
          <c:y val="9.2630892255892258E-2"/>
          <c:w val="0.85990013482646388"/>
          <c:h val="0.18581944444444448"/>
        </c:manualLayout>
      </c:layout>
      <c:overlay val="0"/>
      <c:txPr>
        <a:bodyPr/>
        <a:lstStyle/>
        <a:p>
          <a:pPr>
            <a:defRPr sz="900"/>
          </a:pPr>
          <a:endParaRPr lang="it-IT"/>
        </a:p>
      </c:txPr>
    </c:legend>
    <c:plotVisOnly val="1"/>
    <c:dispBlanksAs val="gap"/>
    <c:showDLblsOverMax val="0"/>
  </c:chart>
  <c:spPr>
    <a:noFill/>
    <a:ln>
      <a:noFill/>
    </a:ln>
  </c:spPr>
  <c:txPr>
    <a:bodyPr/>
    <a:lstStyle/>
    <a:p>
      <a:pPr>
        <a:defRPr>
          <a:latin typeface="Arial Narrow" panose="020B0606020202030204" pitchFamily="34" charset="0"/>
        </a:defRPr>
      </a:pPr>
      <a:endParaRPr lang="it-I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it-IT" sz="900"/>
              <a:t>Prezzi costanti</a:t>
            </a:r>
          </a:p>
        </c:rich>
      </c:tx>
      <c:layout>
        <c:manualLayout>
          <c:xMode val="edge"/>
          <c:yMode val="edge"/>
          <c:x val="0.39293418963906923"/>
          <c:y val="5.3451178451178454E-3"/>
        </c:manualLayout>
      </c:layout>
      <c:overlay val="0"/>
    </c:title>
    <c:autoTitleDeleted val="0"/>
    <c:plotArea>
      <c:layout>
        <c:manualLayout>
          <c:layoutTarget val="inner"/>
          <c:xMode val="edge"/>
          <c:yMode val="edge"/>
          <c:x val="8.6800696489237647E-2"/>
          <c:y val="0.32231986531986534"/>
          <c:w val="0.87432468220754977"/>
          <c:h val="0.56028998316498313"/>
        </c:manualLayout>
      </c:layout>
      <c:lineChart>
        <c:grouping val="standard"/>
        <c:varyColors val="0"/>
        <c:ser>
          <c:idx val="0"/>
          <c:order val="0"/>
          <c:tx>
            <c:strRef>
              <c:f>'FIGURA 8'!$A$12</c:f>
              <c:strCache>
                <c:ptCount val="1"/>
                <c:pt idx="0">
                  <c:v>Primo quinto</c:v>
                </c:pt>
              </c:strCache>
            </c:strRef>
          </c:tx>
          <c:spPr>
            <a:ln>
              <a:solidFill>
                <a:srgbClr val="1F497D"/>
              </a:solidFill>
              <a:prstDash val="solid"/>
            </a:ln>
          </c:spPr>
          <c:marker>
            <c:symbol val="none"/>
          </c:marker>
          <c:cat>
            <c:strRef>
              <c:f>'FIGURA 8'!$B$10:$I$11</c:f>
              <c:strCache>
                <c:ptCount val="8"/>
                <c:pt idx="0">
                  <c:v>2013</c:v>
                </c:pt>
                <c:pt idx="1">
                  <c:v>2014</c:v>
                </c:pt>
                <c:pt idx="2">
                  <c:v>2015</c:v>
                </c:pt>
                <c:pt idx="3">
                  <c:v>2016</c:v>
                </c:pt>
                <c:pt idx="4">
                  <c:v>2017</c:v>
                </c:pt>
                <c:pt idx="5">
                  <c:v>2018</c:v>
                </c:pt>
                <c:pt idx="6">
                  <c:v>2019</c:v>
                </c:pt>
                <c:pt idx="7">
                  <c:v>2020</c:v>
                </c:pt>
              </c:strCache>
            </c:strRef>
          </c:cat>
          <c:val>
            <c:numRef>
              <c:f>'FIGURA 8'!$B$12:$I$12</c:f>
              <c:numCache>
                <c:formatCode>0.0</c:formatCode>
                <c:ptCount val="8"/>
                <c:pt idx="0">
                  <c:v>100</c:v>
                </c:pt>
                <c:pt idx="1">
                  <c:v>101.11611215862781</c:v>
                </c:pt>
                <c:pt idx="2">
                  <c:v>101.24622589866794</c:v>
                </c:pt>
                <c:pt idx="3">
                  <c:v>101.67741572652508</c:v>
                </c:pt>
                <c:pt idx="4">
                  <c:v>98.038817240540965</c:v>
                </c:pt>
                <c:pt idx="5">
                  <c:v>98.464585487500727</c:v>
                </c:pt>
                <c:pt idx="6">
                  <c:v>99.225291022975327</c:v>
                </c:pt>
                <c:pt idx="7">
                  <c:v>95.46344622152121</c:v>
                </c:pt>
              </c:numCache>
            </c:numRef>
          </c:val>
          <c:smooth val="0"/>
          <c:extLst>
            <c:ext xmlns:c16="http://schemas.microsoft.com/office/drawing/2014/chart" uri="{C3380CC4-5D6E-409C-BE32-E72D297353CC}">
              <c16:uniqueId val="{00000000-A28B-4C94-A598-7E07EB9785F7}"/>
            </c:ext>
          </c:extLst>
        </c:ser>
        <c:ser>
          <c:idx val="1"/>
          <c:order val="1"/>
          <c:tx>
            <c:strRef>
              <c:f>'FIGURA 8'!$A$13</c:f>
              <c:strCache>
                <c:ptCount val="1"/>
                <c:pt idx="0">
                  <c:v>Secondo quinto</c:v>
                </c:pt>
              </c:strCache>
            </c:strRef>
          </c:tx>
          <c:spPr>
            <a:ln>
              <a:solidFill>
                <a:srgbClr val="E42618"/>
              </a:solidFill>
              <a:prstDash val="solid"/>
            </a:ln>
          </c:spPr>
          <c:marker>
            <c:symbol val="none"/>
          </c:marker>
          <c:cat>
            <c:strRef>
              <c:f>'FIGURA 8'!$B$10:$I$11</c:f>
              <c:strCache>
                <c:ptCount val="8"/>
                <c:pt idx="0">
                  <c:v>2013</c:v>
                </c:pt>
                <c:pt idx="1">
                  <c:v>2014</c:v>
                </c:pt>
                <c:pt idx="2">
                  <c:v>2015</c:v>
                </c:pt>
                <c:pt idx="3">
                  <c:v>2016</c:v>
                </c:pt>
                <c:pt idx="4">
                  <c:v>2017</c:v>
                </c:pt>
                <c:pt idx="5">
                  <c:v>2018</c:v>
                </c:pt>
                <c:pt idx="6">
                  <c:v>2019</c:v>
                </c:pt>
                <c:pt idx="7">
                  <c:v>2020</c:v>
                </c:pt>
              </c:strCache>
            </c:strRef>
          </c:cat>
          <c:val>
            <c:numRef>
              <c:f>'FIGURA 8'!$B$13:$I$13</c:f>
              <c:numCache>
                <c:formatCode>0.0</c:formatCode>
                <c:ptCount val="8"/>
                <c:pt idx="0">
                  <c:v>100</c:v>
                </c:pt>
                <c:pt idx="1">
                  <c:v>99.772500524265539</c:v>
                </c:pt>
                <c:pt idx="2">
                  <c:v>100.64005643003755</c:v>
                </c:pt>
                <c:pt idx="3">
                  <c:v>102.45244735687713</c:v>
                </c:pt>
                <c:pt idx="4">
                  <c:v>100.3461741324199</c:v>
                </c:pt>
                <c:pt idx="5">
                  <c:v>99.368141246139047</c:v>
                </c:pt>
                <c:pt idx="6">
                  <c:v>100.79518308453889</c:v>
                </c:pt>
                <c:pt idx="7">
                  <c:v>92.745316821486981</c:v>
                </c:pt>
              </c:numCache>
            </c:numRef>
          </c:val>
          <c:smooth val="0"/>
          <c:extLst>
            <c:ext xmlns:c16="http://schemas.microsoft.com/office/drawing/2014/chart" uri="{C3380CC4-5D6E-409C-BE32-E72D297353CC}">
              <c16:uniqueId val="{00000001-A28B-4C94-A598-7E07EB9785F7}"/>
            </c:ext>
          </c:extLst>
        </c:ser>
        <c:ser>
          <c:idx val="2"/>
          <c:order val="2"/>
          <c:tx>
            <c:strRef>
              <c:f>'FIGURA 8'!$A$14</c:f>
              <c:strCache>
                <c:ptCount val="1"/>
                <c:pt idx="0">
                  <c:v>Terzo quinto</c:v>
                </c:pt>
              </c:strCache>
            </c:strRef>
          </c:tx>
          <c:spPr>
            <a:ln>
              <a:solidFill>
                <a:srgbClr val="9BBB59"/>
              </a:solidFill>
              <a:prstDash val="solid"/>
            </a:ln>
          </c:spPr>
          <c:marker>
            <c:symbol val="none"/>
          </c:marker>
          <c:cat>
            <c:strRef>
              <c:f>'FIGURA 8'!$B$10:$I$11</c:f>
              <c:strCache>
                <c:ptCount val="8"/>
                <c:pt idx="0">
                  <c:v>2013</c:v>
                </c:pt>
                <c:pt idx="1">
                  <c:v>2014</c:v>
                </c:pt>
                <c:pt idx="2">
                  <c:v>2015</c:v>
                </c:pt>
                <c:pt idx="3">
                  <c:v>2016</c:v>
                </c:pt>
                <c:pt idx="4">
                  <c:v>2017</c:v>
                </c:pt>
                <c:pt idx="5">
                  <c:v>2018</c:v>
                </c:pt>
                <c:pt idx="6">
                  <c:v>2019</c:v>
                </c:pt>
                <c:pt idx="7">
                  <c:v>2020</c:v>
                </c:pt>
              </c:strCache>
            </c:strRef>
          </c:cat>
          <c:val>
            <c:numRef>
              <c:f>'FIGURA 8'!$B$14:$I$14</c:f>
              <c:numCache>
                <c:formatCode>0.0</c:formatCode>
                <c:ptCount val="8"/>
                <c:pt idx="0">
                  <c:v>100</c:v>
                </c:pt>
                <c:pt idx="1">
                  <c:v>98.833316686880195</c:v>
                </c:pt>
                <c:pt idx="2">
                  <c:v>100.50960119854464</c:v>
                </c:pt>
                <c:pt idx="3">
                  <c:v>101.36358231671063</c:v>
                </c:pt>
                <c:pt idx="4">
                  <c:v>101.43524760024599</c:v>
                </c:pt>
                <c:pt idx="5">
                  <c:v>100.78931723258351</c:v>
                </c:pt>
                <c:pt idx="6">
                  <c:v>101.00332096393687</c:v>
                </c:pt>
                <c:pt idx="7">
                  <c:v>91.703578457325122</c:v>
                </c:pt>
              </c:numCache>
            </c:numRef>
          </c:val>
          <c:smooth val="0"/>
          <c:extLst>
            <c:ext xmlns:c16="http://schemas.microsoft.com/office/drawing/2014/chart" uri="{C3380CC4-5D6E-409C-BE32-E72D297353CC}">
              <c16:uniqueId val="{00000002-A28B-4C94-A598-7E07EB9785F7}"/>
            </c:ext>
          </c:extLst>
        </c:ser>
        <c:ser>
          <c:idx val="3"/>
          <c:order val="3"/>
          <c:tx>
            <c:strRef>
              <c:f>'FIGURA 8'!$A$15</c:f>
              <c:strCache>
                <c:ptCount val="1"/>
                <c:pt idx="0">
                  <c:v>Quarto quinto</c:v>
                </c:pt>
              </c:strCache>
            </c:strRef>
          </c:tx>
          <c:spPr>
            <a:ln>
              <a:solidFill>
                <a:srgbClr val="666699"/>
              </a:solidFill>
              <a:prstDash val="solid"/>
            </a:ln>
          </c:spPr>
          <c:marker>
            <c:symbol val="none"/>
          </c:marker>
          <c:cat>
            <c:strRef>
              <c:f>'FIGURA 8'!$B$10:$I$11</c:f>
              <c:strCache>
                <c:ptCount val="8"/>
                <c:pt idx="0">
                  <c:v>2013</c:v>
                </c:pt>
                <c:pt idx="1">
                  <c:v>2014</c:v>
                </c:pt>
                <c:pt idx="2">
                  <c:v>2015</c:v>
                </c:pt>
                <c:pt idx="3">
                  <c:v>2016</c:v>
                </c:pt>
                <c:pt idx="4">
                  <c:v>2017</c:v>
                </c:pt>
                <c:pt idx="5">
                  <c:v>2018</c:v>
                </c:pt>
                <c:pt idx="6">
                  <c:v>2019</c:v>
                </c:pt>
                <c:pt idx="7">
                  <c:v>2020</c:v>
                </c:pt>
              </c:strCache>
            </c:strRef>
          </c:cat>
          <c:val>
            <c:numRef>
              <c:f>'FIGURA 8'!$B$15:$I$15</c:f>
              <c:numCache>
                <c:formatCode>0.0</c:formatCode>
                <c:ptCount val="8"/>
                <c:pt idx="0">
                  <c:v>100</c:v>
                </c:pt>
                <c:pt idx="1">
                  <c:v>99.094490655491342</c:v>
                </c:pt>
                <c:pt idx="2">
                  <c:v>101.10293916368585</c:v>
                </c:pt>
                <c:pt idx="3">
                  <c:v>101.13638396794151</c:v>
                </c:pt>
                <c:pt idx="4">
                  <c:v>102.02967701757484</c:v>
                </c:pt>
                <c:pt idx="5">
                  <c:v>101.14762899846441</c:v>
                </c:pt>
                <c:pt idx="6">
                  <c:v>99.920275757907348</c:v>
                </c:pt>
                <c:pt idx="7">
                  <c:v>91.044155265531899</c:v>
                </c:pt>
              </c:numCache>
            </c:numRef>
          </c:val>
          <c:smooth val="0"/>
          <c:extLst>
            <c:ext xmlns:c16="http://schemas.microsoft.com/office/drawing/2014/chart" uri="{C3380CC4-5D6E-409C-BE32-E72D297353CC}">
              <c16:uniqueId val="{00000003-A28B-4C94-A598-7E07EB9785F7}"/>
            </c:ext>
          </c:extLst>
        </c:ser>
        <c:ser>
          <c:idx val="4"/>
          <c:order val="4"/>
          <c:tx>
            <c:strRef>
              <c:f>'FIGURA 8'!$A$16</c:f>
              <c:strCache>
                <c:ptCount val="1"/>
                <c:pt idx="0">
                  <c:v>Quinto quinto</c:v>
                </c:pt>
              </c:strCache>
            </c:strRef>
          </c:tx>
          <c:spPr>
            <a:ln>
              <a:solidFill>
                <a:srgbClr val="006482"/>
              </a:solidFill>
              <a:prstDash val="solid"/>
            </a:ln>
          </c:spPr>
          <c:marker>
            <c:symbol val="none"/>
          </c:marker>
          <c:cat>
            <c:strRef>
              <c:f>'FIGURA 8'!$B$10:$I$11</c:f>
              <c:strCache>
                <c:ptCount val="8"/>
                <c:pt idx="0">
                  <c:v>2013</c:v>
                </c:pt>
                <c:pt idx="1">
                  <c:v>2014</c:v>
                </c:pt>
                <c:pt idx="2">
                  <c:v>2015</c:v>
                </c:pt>
                <c:pt idx="3">
                  <c:v>2016</c:v>
                </c:pt>
                <c:pt idx="4">
                  <c:v>2017</c:v>
                </c:pt>
                <c:pt idx="5">
                  <c:v>2018</c:v>
                </c:pt>
                <c:pt idx="6">
                  <c:v>2019</c:v>
                </c:pt>
                <c:pt idx="7">
                  <c:v>2020</c:v>
                </c:pt>
              </c:strCache>
            </c:strRef>
          </c:cat>
          <c:val>
            <c:numRef>
              <c:f>'FIGURA 8'!$B$16:$I$16</c:f>
              <c:numCache>
                <c:formatCode>0.0</c:formatCode>
                <c:ptCount val="8"/>
                <c:pt idx="0">
                  <c:v>100</c:v>
                </c:pt>
                <c:pt idx="1">
                  <c:v>102.62379915274937</c:v>
                </c:pt>
                <c:pt idx="2">
                  <c:v>102.20191150261799</c:v>
                </c:pt>
                <c:pt idx="3">
                  <c:v>104.11552607781493</c:v>
                </c:pt>
                <c:pt idx="4">
                  <c:v>105.8972205400661</c:v>
                </c:pt>
                <c:pt idx="5">
                  <c:v>103.45953237102201</c:v>
                </c:pt>
                <c:pt idx="6">
                  <c:v>102.98611985569772</c:v>
                </c:pt>
                <c:pt idx="7">
                  <c:v>94.969298536496481</c:v>
                </c:pt>
              </c:numCache>
            </c:numRef>
          </c:val>
          <c:smooth val="0"/>
          <c:extLst>
            <c:ext xmlns:c16="http://schemas.microsoft.com/office/drawing/2014/chart" uri="{C3380CC4-5D6E-409C-BE32-E72D297353CC}">
              <c16:uniqueId val="{00000004-A28B-4C94-A598-7E07EB9785F7}"/>
            </c:ext>
          </c:extLst>
        </c:ser>
        <c:ser>
          <c:idx val="5"/>
          <c:order val="5"/>
          <c:tx>
            <c:strRef>
              <c:f>'FIGURA 8'!$A$17</c:f>
              <c:strCache>
                <c:ptCount val="1"/>
                <c:pt idx="0">
                  <c:v>Totale famiglie</c:v>
                </c:pt>
              </c:strCache>
            </c:strRef>
          </c:tx>
          <c:spPr>
            <a:ln>
              <a:solidFill>
                <a:srgbClr val="CC6600"/>
              </a:solidFill>
              <a:prstDash val="solid"/>
            </a:ln>
          </c:spPr>
          <c:marker>
            <c:symbol val="square"/>
            <c:size val="5"/>
            <c:spPr>
              <a:solidFill>
                <a:srgbClr val="CC6600"/>
              </a:solidFill>
              <a:ln>
                <a:solidFill>
                  <a:srgbClr val="CC6600"/>
                </a:solidFill>
              </a:ln>
            </c:spPr>
          </c:marker>
          <c:cat>
            <c:strRef>
              <c:f>'FIGURA 8'!$B$10:$I$11</c:f>
              <c:strCache>
                <c:ptCount val="8"/>
                <c:pt idx="0">
                  <c:v>2013</c:v>
                </c:pt>
                <c:pt idx="1">
                  <c:v>2014</c:v>
                </c:pt>
                <c:pt idx="2">
                  <c:v>2015</c:v>
                </c:pt>
                <c:pt idx="3">
                  <c:v>2016</c:v>
                </c:pt>
                <c:pt idx="4">
                  <c:v>2017</c:v>
                </c:pt>
                <c:pt idx="5">
                  <c:v>2018</c:v>
                </c:pt>
                <c:pt idx="6">
                  <c:v>2019</c:v>
                </c:pt>
                <c:pt idx="7">
                  <c:v>2020</c:v>
                </c:pt>
              </c:strCache>
            </c:strRef>
          </c:cat>
          <c:val>
            <c:numRef>
              <c:f>'FIGURA 8'!$B$17:$I$17</c:f>
              <c:numCache>
                <c:formatCode>0.0</c:formatCode>
                <c:ptCount val="8"/>
                <c:pt idx="0">
                  <c:v>100</c:v>
                </c:pt>
                <c:pt idx="1">
                  <c:v>100.68620920289089</c:v>
                </c:pt>
                <c:pt idx="2">
                  <c:v>101.41220181982129</c:v>
                </c:pt>
                <c:pt idx="3">
                  <c:v>102.63205577903503</c:v>
                </c:pt>
                <c:pt idx="4">
                  <c:v>102.9208177939593</c:v>
                </c:pt>
                <c:pt idx="5">
                  <c:v>101.63296711645697</c:v>
                </c:pt>
                <c:pt idx="6">
                  <c:v>101.35777983453971</c:v>
                </c:pt>
                <c:pt idx="7">
                  <c:v>93.131126995413894</c:v>
                </c:pt>
              </c:numCache>
            </c:numRef>
          </c:val>
          <c:smooth val="0"/>
          <c:extLst>
            <c:ext xmlns:c16="http://schemas.microsoft.com/office/drawing/2014/chart" uri="{C3380CC4-5D6E-409C-BE32-E72D297353CC}">
              <c16:uniqueId val="{00000005-A28B-4C94-A598-7E07EB9785F7}"/>
            </c:ext>
          </c:extLst>
        </c:ser>
        <c:dLbls>
          <c:showLegendKey val="0"/>
          <c:showVal val="0"/>
          <c:showCatName val="0"/>
          <c:showSerName val="0"/>
          <c:showPercent val="0"/>
          <c:showBubbleSize val="0"/>
        </c:dLbls>
        <c:smooth val="0"/>
        <c:axId val="201697536"/>
        <c:axId val="201699712"/>
      </c:lineChart>
      <c:catAx>
        <c:axId val="201697536"/>
        <c:scaling>
          <c:orientation val="minMax"/>
        </c:scaling>
        <c:delete val="0"/>
        <c:axPos val="b"/>
        <c:majorGridlines>
          <c:spPr>
            <a:ln>
              <a:solidFill>
                <a:schemeClr val="bg1"/>
              </a:solidFill>
            </a:ln>
          </c:spPr>
        </c:majorGridlines>
        <c:numFmt formatCode="General" sourceLinked="1"/>
        <c:majorTickMark val="out"/>
        <c:minorTickMark val="none"/>
        <c:tickLblPos val="nextTo"/>
        <c:spPr>
          <a:ln>
            <a:noFill/>
          </a:ln>
        </c:spPr>
        <c:txPr>
          <a:bodyPr/>
          <a:lstStyle/>
          <a:p>
            <a:pPr>
              <a:defRPr sz="800" b="1"/>
            </a:pPr>
            <a:endParaRPr lang="it-IT"/>
          </a:p>
        </c:txPr>
        <c:crossAx val="201699712"/>
        <c:crosses val="autoZero"/>
        <c:auto val="1"/>
        <c:lblAlgn val="ctr"/>
        <c:lblOffset val="100"/>
        <c:noMultiLvlLbl val="0"/>
      </c:catAx>
      <c:valAx>
        <c:axId val="201699712"/>
        <c:scaling>
          <c:orientation val="minMax"/>
          <c:max val="110"/>
          <c:min val="90"/>
        </c:scaling>
        <c:delete val="0"/>
        <c:axPos val="l"/>
        <c:majorGridlines>
          <c:spPr>
            <a:ln>
              <a:solidFill>
                <a:schemeClr val="bg1"/>
              </a:solidFill>
            </a:ln>
          </c:spPr>
        </c:majorGridlines>
        <c:numFmt formatCode="0" sourceLinked="0"/>
        <c:majorTickMark val="out"/>
        <c:minorTickMark val="none"/>
        <c:tickLblPos val="nextTo"/>
        <c:spPr>
          <a:ln>
            <a:noFill/>
          </a:ln>
        </c:spPr>
        <c:txPr>
          <a:bodyPr/>
          <a:lstStyle/>
          <a:p>
            <a:pPr>
              <a:defRPr sz="900"/>
            </a:pPr>
            <a:endParaRPr lang="it-IT"/>
          </a:p>
        </c:txPr>
        <c:crossAx val="201697536"/>
        <c:crosses val="autoZero"/>
        <c:crossBetween val="between"/>
        <c:majorUnit val="2"/>
      </c:valAx>
      <c:spPr>
        <a:noFill/>
        <a:ln>
          <a:solidFill>
            <a:schemeClr val="bg1"/>
          </a:solidFill>
        </a:ln>
      </c:spPr>
    </c:plotArea>
    <c:legend>
      <c:legendPos val="t"/>
      <c:layout>
        <c:manualLayout>
          <c:xMode val="edge"/>
          <c:yMode val="edge"/>
          <c:x val="8.4051520342706604E-2"/>
          <c:y val="9.2630892255892258E-2"/>
          <c:w val="0.85840513632646598"/>
          <c:h val="0.1911645622895623"/>
        </c:manualLayout>
      </c:layout>
      <c:overlay val="0"/>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7165184579634"/>
          <c:y val="0.14578147938075539"/>
          <c:w val="0.8237650493115436"/>
          <c:h val="0.6100814462514943"/>
        </c:manualLayout>
      </c:layout>
      <c:barChart>
        <c:barDir val="col"/>
        <c:grouping val="clustered"/>
        <c:varyColors val="0"/>
        <c:ser>
          <c:idx val="0"/>
          <c:order val="0"/>
          <c:tx>
            <c:strRef>
              <c:f>'FIGURA 2_allineati'!$A$5</c:f>
              <c:strCache>
                <c:ptCount val="1"/>
                <c:pt idx="0">
                  <c:v>Spesa mediana mensile</c:v>
                </c:pt>
              </c:strCache>
            </c:strRef>
          </c:tx>
          <c:spPr>
            <a:solidFill>
              <a:srgbClr val="1F497D"/>
            </a:solidFill>
          </c:spPr>
          <c:invertIfNegative val="0"/>
          <c:cat>
            <c:strRef>
              <c:f>'FIGURA 2_allineati'!$B$4:$G$4</c:f>
              <c:strCache>
                <c:ptCount val="6"/>
                <c:pt idx="0">
                  <c:v>Nord-ovest</c:v>
                </c:pt>
                <c:pt idx="1">
                  <c:v>Nord-est</c:v>
                </c:pt>
                <c:pt idx="2">
                  <c:v>Centro</c:v>
                </c:pt>
                <c:pt idx="3">
                  <c:v>Sud</c:v>
                </c:pt>
                <c:pt idx="4">
                  <c:v>Isole</c:v>
                </c:pt>
                <c:pt idx="5">
                  <c:v>Italia</c:v>
                </c:pt>
              </c:strCache>
            </c:strRef>
          </c:cat>
          <c:val>
            <c:numRef>
              <c:f>'FIGURA 2_allineati'!$B$5:$G$5</c:f>
              <c:numCache>
                <c:formatCode>_(* #,##0.00_);_(* \(#,##0.00\);_(* "-"??_);_(@_)</c:formatCode>
                <c:ptCount val="6"/>
                <c:pt idx="0">
                  <c:v>2118.92</c:v>
                </c:pt>
                <c:pt idx="1">
                  <c:v>2119.1999999999998</c:v>
                </c:pt>
                <c:pt idx="2">
                  <c:v>2123.9</c:v>
                </c:pt>
                <c:pt idx="3">
                  <c:v>1650.57</c:v>
                </c:pt>
                <c:pt idx="4">
                  <c:v>1656.15</c:v>
                </c:pt>
                <c:pt idx="5">
                  <c:v>1961.7</c:v>
                </c:pt>
              </c:numCache>
            </c:numRef>
          </c:val>
          <c:extLst>
            <c:ext xmlns:c16="http://schemas.microsoft.com/office/drawing/2014/chart" uri="{C3380CC4-5D6E-409C-BE32-E72D297353CC}">
              <c16:uniqueId val="{00000000-E589-4E2C-B0C3-344CC4ACD111}"/>
            </c:ext>
          </c:extLst>
        </c:ser>
        <c:ser>
          <c:idx val="1"/>
          <c:order val="1"/>
          <c:tx>
            <c:strRef>
              <c:f>'FIGURA 2_allineati'!$A$6</c:f>
              <c:strCache>
                <c:ptCount val="1"/>
                <c:pt idx="0">
                  <c:v>Spesa media mensile</c:v>
                </c:pt>
              </c:strCache>
            </c:strRef>
          </c:tx>
          <c:spPr>
            <a:solidFill>
              <a:srgbClr val="E42618"/>
            </a:solidFill>
          </c:spPr>
          <c:invertIfNegative val="0"/>
          <c:cat>
            <c:strRef>
              <c:f>'FIGURA 2_allineati'!$B$4:$G$4</c:f>
              <c:strCache>
                <c:ptCount val="6"/>
                <c:pt idx="0">
                  <c:v>Nord-ovest</c:v>
                </c:pt>
                <c:pt idx="1">
                  <c:v>Nord-est</c:v>
                </c:pt>
                <c:pt idx="2">
                  <c:v>Centro</c:v>
                </c:pt>
                <c:pt idx="3">
                  <c:v>Sud</c:v>
                </c:pt>
                <c:pt idx="4">
                  <c:v>Isole</c:v>
                </c:pt>
                <c:pt idx="5">
                  <c:v>Italia</c:v>
                </c:pt>
              </c:strCache>
            </c:strRef>
          </c:cat>
          <c:val>
            <c:numRef>
              <c:f>'FIGURA 2_allineati'!$B$6:$G$6</c:f>
              <c:numCache>
                <c:formatCode>_(* #,##0.00_);_(* \(#,##0.00\);_(* "-"??_);_(@_)</c:formatCode>
                <c:ptCount val="6"/>
                <c:pt idx="0">
                  <c:v>2523.38</c:v>
                </c:pt>
                <c:pt idx="1">
                  <c:v>2525.33</c:v>
                </c:pt>
                <c:pt idx="2">
                  <c:v>2510.5100000000002</c:v>
                </c:pt>
                <c:pt idx="3">
                  <c:v>1898.09</c:v>
                </c:pt>
                <c:pt idx="4">
                  <c:v>1949</c:v>
                </c:pt>
                <c:pt idx="5">
                  <c:v>2328.23</c:v>
                </c:pt>
              </c:numCache>
            </c:numRef>
          </c:val>
          <c:extLst>
            <c:ext xmlns:c16="http://schemas.microsoft.com/office/drawing/2014/chart" uri="{C3380CC4-5D6E-409C-BE32-E72D297353CC}">
              <c16:uniqueId val="{00000001-E589-4E2C-B0C3-344CC4ACD111}"/>
            </c:ext>
          </c:extLst>
        </c:ser>
        <c:dLbls>
          <c:showLegendKey val="0"/>
          <c:showVal val="0"/>
          <c:showCatName val="0"/>
          <c:showSerName val="0"/>
          <c:showPercent val="0"/>
          <c:showBubbleSize val="0"/>
        </c:dLbls>
        <c:gapWidth val="150"/>
        <c:axId val="178269568"/>
        <c:axId val="178271360"/>
      </c:barChart>
      <c:catAx>
        <c:axId val="178269568"/>
        <c:scaling>
          <c:orientation val="minMax"/>
        </c:scaling>
        <c:delete val="0"/>
        <c:axPos val="b"/>
        <c:majorGridlines>
          <c:spPr>
            <a:ln>
              <a:solidFill>
                <a:schemeClr val="bg1"/>
              </a:solidFill>
            </a:ln>
          </c:spPr>
        </c:majorGridlines>
        <c:numFmt formatCode="General" sourceLinked="0"/>
        <c:majorTickMark val="out"/>
        <c:minorTickMark val="none"/>
        <c:tickLblPos val="nextTo"/>
        <c:spPr>
          <a:ln w="3175">
            <a:solidFill>
              <a:schemeClr val="bg1"/>
            </a:solidFill>
          </a:ln>
        </c:spPr>
        <c:txPr>
          <a:bodyPr rot="0" anchor="ctr" anchorCtr="1"/>
          <a:lstStyle/>
          <a:p>
            <a:pPr>
              <a:defRPr sz="700" b="1" baseline="0">
                <a:latin typeface="Arial Narrow" panose="020B0606020202030204" pitchFamily="34" charset="0"/>
              </a:defRPr>
            </a:pPr>
            <a:endParaRPr lang="it-IT"/>
          </a:p>
        </c:txPr>
        <c:crossAx val="178271360"/>
        <c:crosses val="autoZero"/>
        <c:auto val="1"/>
        <c:lblAlgn val="ctr"/>
        <c:lblOffset val="100"/>
        <c:noMultiLvlLbl val="0"/>
      </c:catAx>
      <c:valAx>
        <c:axId val="178271360"/>
        <c:scaling>
          <c:orientation val="minMax"/>
          <c:max val="3000"/>
          <c:min val="1000"/>
        </c:scaling>
        <c:delete val="0"/>
        <c:axPos val="l"/>
        <c:majorGridlines>
          <c:spPr>
            <a:ln>
              <a:solidFill>
                <a:schemeClr val="bg1"/>
              </a:solidFill>
            </a:ln>
          </c:spPr>
        </c:majorGridlines>
        <c:numFmt formatCode="#,##0" sourceLinked="0"/>
        <c:majorTickMark val="out"/>
        <c:minorTickMark val="none"/>
        <c:tickLblPos val="nextTo"/>
        <c:spPr>
          <a:ln w="3175">
            <a:solidFill>
              <a:schemeClr val="bg1"/>
            </a:solidFill>
          </a:ln>
        </c:spPr>
        <c:txPr>
          <a:bodyPr/>
          <a:lstStyle/>
          <a:p>
            <a:pPr>
              <a:defRPr sz="800">
                <a:latin typeface="Arial Narrow" panose="020B0606020202030204" pitchFamily="34" charset="0"/>
              </a:defRPr>
            </a:pPr>
            <a:endParaRPr lang="it-IT"/>
          </a:p>
        </c:txPr>
        <c:crossAx val="178269568"/>
        <c:crosses val="autoZero"/>
        <c:crossBetween val="between"/>
        <c:majorUnit val="500"/>
      </c:valAx>
      <c:spPr>
        <a:noFill/>
        <a:ln>
          <a:noFill/>
        </a:ln>
      </c:spPr>
    </c:plotArea>
    <c:legend>
      <c:legendPos val="t"/>
      <c:layout>
        <c:manualLayout>
          <c:xMode val="edge"/>
          <c:yMode val="edge"/>
          <c:x val="5.7678676370022358E-2"/>
          <c:y val="6.591151741625517E-3"/>
          <c:w val="0.92630905511811024"/>
          <c:h val="8.7055451499906247E-2"/>
        </c:manualLayout>
      </c:layout>
      <c:overlay val="0"/>
      <c:txPr>
        <a:bodyPr/>
        <a:lstStyle/>
        <a:p>
          <a:pPr>
            <a:defRPr sz="900">
              <a:latin typeface="Arial Narrow" panose="020B0606020202030204" pitchFamily="34" charset="0"/>
            </a:defRPr>
          </a:pPr>
          <a:endParaRPr lang="it-IT"/>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80444632355188E-2"/>
          <c:y val="0.12428121747955244"/>
          <c:w val="0.86753973720146571"/>
          <c:h val="0.60005549318863582"/>
        </c:manualLayout>
      </c:layout>
      <c:barChart>
        <c:barDir val="col"/>
        <c:grouping val="clustered"/>
        <c:varyColors val="0"/>
        <c:ser>
          <c:idx val="0"/>
          <c:order val="0"/>
          <c:tx>
            <c:strRef>
              <c:f>'FIGURA 2_allineati'!$A$10</c:f>
              <c:strCache>
                <c:ptCount val="1"/>
                <c:pt idx="0">
                  <c:v>Spesa mediana mensile</c:v>
                </c:pt>
              </c:strCache>
            </c:strRef>
          </c:tx>
          <c:spPr>
            <a:solidFill>
              <a:srgbClr val="1F497D"/>
            </a:solidFill>
          </c:spPr>
          <c:invertIfNegative val="0"/>
          <c:cat>
            <c:strRef>
              <c:f>'FIGURA 2_allineati'!$B$9:$E$9</c:f>
              <c:strCache>
                <c:ptCount val="4"/>
                <c:pt idx="0">
                  <c:v>Centro area metropolitana</c:v>
                </c:pt>
                <c:pt idx="1">
                  <c:v>Periferia area metropolitana e comuni con 50.001 ab. e più</c:v>
                </c:pt>
                <c:pt idx="2">
                  <c:v>Altri comuni fino a 50.000 ab. (diversi dai comuni periferia area metropolitana)</c:v>
                </c:pt>
                <c:pt idx="3">
                  <c:v>Italia</c:v>
                </c:pt>
              </c:strCache>
            </c:strRef>
          </c:cat>
          <c:val>
            <c:numRef>
              <c:f>'FIGURA 2_allineati'!$B$10:$E$10</c:f>
              <c:numCache>
                <c:formatCode>_(* #,##0.00_);_(* \(#,##0.00\);_(* "-"??_);_(@_)</c:formatCode>
                <c:ptCount val="4"/>
                <c:pt idx="0">
                  <c:v>2176.21</c:v>
                </c:pt>
                <c:pt idx="1">
                  <c:v>2013.01</c:v>
                </c:pt>
                <c:pt idx="2">
                  <c:v>1884.4</c:v>
                </c:pt>
                <c:pt idx="3">
                  <c:v>1961.7</c:v>
                </c:pt>
              </c:numCache>
            </c:numRef>
          </c:val>
          <c:extLst>
            <c:ext xmlns:c16="http://schemas.microsoft.com/office/drawing/2014/chart" uri="{C3380CC4-5D6E-409C-BE32-E72D297353CC}">
              <c16:uniqueId val="{00000000-F5AF-4AF6-AE06-0A27C220E38F}"/>
            </c:ext>
          </c:extLst>
        </c:ser>
        <c:ser>
          <c:idx val="1"/>
          <c:order val="1"/>
          <c:tx>
            <c:strRef>
              <c:f>'FIGURA 2_allineati'!$A$11</c:f>
              <c:strCache>
                <c:ptCount val="1"/>
                <c:pt idx="0">
                  <c:v>Spesa media mensile</c:v>
                </c:pt>
              </c:strCache>
            </c:strRef>
          </c:tx>
          <c:spPr>
            <a:solidFill>
              <a:srgbClr val="E42618"/>
            </a:solidFill>
          </c:spPr>
          <c:invertIfNegative val="0"/>
          <c:cat>
            <c:strRef>
              <c:f>'FIGURA 2_allineati'!$B$9:$E$9</c:f>
              <c:strCache>
                <c:ptCount val="4"/>
                <c:pt idx="0">
                  <c:v>Centro area metropolitana</c:v>
                </c:pt>
                <c:pt idx="1">
                  <c:v>Periferia area metropolitana e comuni con 50.001 ab. e più</c:v>
                </c:pt>
                <c:pt idx="2">
                  <c:v>Altri comuni fino a 50.000 ab. (diversi dai comuni periferia area metropolitana)</c:v>
                </c:pt>
                <c:pt idx="3">
                  <c:v>Italia</c:v>
                </c:pt>
              </c:strCache>
            </c:strRef>
          </c:cat>
          <c:val>
            <c:numRef>
              <c:f>'FIGURA 2_allineati'!$B$11:$E$11</c:f>
              <c:numCache>
                <c:formatCode>_(* #,##0.00_);_(* \(#,##0.00\);_(* "-"??_);_(@_)</c:formatCode>
                <c:ptCount val="4"/>
                <c:pt idx="0">
                  <c:v>2615.9899999999998</c:v>
                </c:pt>
                <c:pt idx="1">
                  <c:v>2377.7399999999998</c:v>
                </c:pt>
                <c:pt idx="2">
                  <c:v>2206.98</c:v>
                </c:pt>
                <c:pt idx="3">
                  <c:v>2328.23</c:v>
                </c:pt>
              </c:numCache>
            </c:numRef>
          </c:val>
          <c:extLst>
            <c:ext xmlns:c16="http://schemas.microsoft.com/office/drawing/2014/chart" uri="{C3380CC4-5D6E-409C-BE32-E72D297353CC}">
              <c16:uniqueId val="{00000001-F5AF-4AF6-AE06-0A27C220E38F}"/>
            </c:ext>
          </c:extLst>
        </c:ser>
        <c:dLbls>
          <c:showLegendKey val="0"/>
          <c:showVal val="0"/>
          <c:showCatName val="0"/>
          <c:showSerName val="0"/>
          <c:showPercent val="0"/>
          <c:showBubbleSize val="0"/>
        </c:dLbls>
        <c:gapWidth val="150"/>
        <c:axId val="178285184"/>
        <c:axId val="178295168"/>
      </c:barChart>
      <c:catAx>
        <c:axId val="178285184"/>
        <c:scaling>
          <c:orientation val="minMax"/>
        </c:scaling>
        <c:delete val="0"/>
        <c:axPos val="b"/>
        <c:majorGridlines>
          <c:spPr>
            <a:ln>
              <a:solidFill>
                <a:schemeClr val="bg1"/>
              </a:solidFill>
            </a:ln>
          </c:spPr>
        </c:majorGridlines>
        <c:numFmt formatCode="@" sourceLinked="0"/>
        <c:majorTickMark val="out"/>
        <c:minorTickMark val="none"/>
        <c:tickLblPos val="nextTo"/>
        <c:spPr>
          <a:ln w="3175">
            <a:solidFill>
              <a:schemeClr val="bg1"/>
            </a:solidFill>
          </a:ln>
        </c:spPr>
        <c:txPr>
          <a:bodyPr rot="0"/>
          <a:lstStyle/>
          <a:p>
            <a:pPr>
              <a:defRPr sz="700" b="1" baseline="0">
                <a:latin typeface="Arial Narrow" panose="020B0606020202030204" pitchFamily="34" charset="0"/>
              </a:defRPr>
            </a:pPr>
            <a:endParaRPr lang="it-IT"/>
          </a:p>
        </c:txPr>
        <c:crossAx val="178295168"/>
        <c:crosses val="autoZero"/>
        <c:auto val="1"/>
        <c:lblAlgn val="ctr"/>
        <c:lblOffset val="100"/>
        <c:noMultiLvlLbl val="0"/>
      </c:catAx>
      <c:valAx>
        <c:axId val="178295168"/>
        <c:scaling>
          <c:orientation val="minMax"/>
          <c:max val="3000"/>
          <c:min val="1000"/>
        </c:scaling>
        <c:delete val="0"/>
        <c:axPos val="l"/>
        <c:majorGridlines>
          <c:spPr>
            <a:ln>
              <a:solidFill>
                <a:schemeClr val="bg1"/>
              </a:solidFill>
            </a:ln>
          </c:spPr>
        </c:majorGridlines>
        <c:numFmt formatCode="#,##0" sourceLinked="0"/>
        <c:majorTickMark val="out"/>
        <c:minorTickMark val="none"/>
        <c:tickLblPos val="nextTo"/>
        <c:spPr>
          <a:ln w="3175">
            <a:solidFill>
              <a:schemeClr val="bg1"/>
            </a:solidFill>
          </a:ln>
        </c:spPr>
        <c:txPr>
          <a:bodyPr/>
          <a:lstStyle/>
          <a:p>
            <a:pPr>
              <a:defRPr sz="800">
                <a:latin typeface="Arial Narrow" panose="020B0606020202030204" pitchFamily="34" charset="0"/>
              </a:defRPr>
            </a:pPr>
            <a:endParaRPr lang="it-IT"/>
          </a:p>
        </c:txPr>
        <c:crossAx val="178285184"/>
        <c:crosses val="autoZero"/>
        <c:crossBetween val="between"/>
        <c:majorUnit val="500"/>
      </c:valAx>
      <c:spPr>
        <a:noFill/>
        <a:ln>
          <a:noFill/>
        </a:ln>
      </c:spPr>
    </c:plotArea>
    <c:legend>
      <c:legendPos val="t"/>
      <c:layout>
        <c:manualLayout>
          <c:xMode val="edge"/>
          <c:yMode val="edge"/>
          <c:x val="0.14530365037443022"/>
          <c:y val="5.2966101694915252E-3"/>
          <c:w val="0.70939269925113957"/>
          <c:h val="7.9286917789937281E-2"/>
        </c:manualLayout>
      </c:layout>
      <c:overlay val="0"/>
      <c:txPr>
        <a:bodyPr/>
        <a:lstStyle/>
        <a:p>
          <a:pPr>
            <a:defRPr sz="900">
              <a:latin typeface="Arial Narrow" panose="020B0606020202030204" pitchFamily="34" charset="0"/>
            </a:defRPr>
          </a:pPr>
          <a:endParaRPr lang="it-IT"/>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470512579208229E-2"/>
          <c:y val="0.14429596262929598"/>
          <c:w val="0.91036603715024067"/>
          <c:h val="0.60215856600787876"/>
        </c:manualLayout>
      </c:layout>
      <c:barChart>
        <c:barDir val="col"/>
        <c:grouping val="clustered"/>
        <c:varyColors val="0"/>
        <c:ser>
          <c:idx val="0"/>
          <c:order val="0"/>
          <c:tx>
            <c:strRef>
              <c:f>'FIGURA 3'!$B$3</c:f>
              <c:strCache>
                <c:ptCount val="1"/>
                <c:pt idx="0">
                  <c:v>Continuo a comprarli senza modifiche</c:v>
                </c:pt>
              </c:strCache>
            </c:strRef>
          </c:tx>
          <c:spPr>
            <a:solidFill>
              <a:srgbClr val="1F497D"/>
            </a:solidFill>
          </c:spPr>
          <c:invertIfNegative val="0"/>
          <c:dLbls>
            <c:numFmt formatCode="#,##0.0" sourceLinked="0"/>
            <c:spPr>
              <a:noFill/>
              <a:ln>
                <a:noFill/>
              </a:ln>
              <a:effectLst/>
            </c:spPr>
            <c:txPr>
              <a:bodyPr wrap="square" lIns="38100" tIns="19050" rIns="38100" bIns="19050" anchor="ctr">
                <a:spAutoFit/>
              </a:bodyPr>
              <a:lstStyle/>
              <a:p>
                <a:pPr>
                  <a:defRPr sz="800"/>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3'!$A$4:$A$10</c:f>
              <c:strCache>
                <c:ptCount val="7"/>
                <c:pt idx="0">
                  <c:v>Cibi</c:v>
                </c:pt>
                <c:pt idx="1">
                  <c:v>Bevande</c:v>
                </c:pt>
                <c:pt idx="2">
                  <c:v>Abbigliamento e calzature</c:v>
                </c:pt>
                <c:pt idx="3">
                  <c:v>Cura e igiene personale</c:v>
                </c:pt>
                <c:pt idx="4">
                  <c:v>Visite mediche e accertamenti periodici</c:v>
                </c:pt>
                <c:pt idx="5">
                  <c:v>Carburanti per mezzi privati</c:v>
                </c:pt>
                <c:pt idx="6">
                  <c:v>Viaggi e vacanze</c:v>
                </c:pt>
              </c:strCache>
            </c:strRef>
          </c:cat>
          <c:val>
            <c:numRef>
              <c:f>'FIGURA 3'!$B$4:$B$10</c:f>
              <c:numCache>
                <c:formatCode>0.0</c:formatCode>
                <c:ptCount val="7"/>
                <c:pt idx="0" formatCode="0.0;[Red]0.0">
                  <c:v>74.184634835300784</c:v>
                </c:pt>
                <c:pt idx="1">
                  <c:v>70.639234260380192</c:v>
                </c:pt>
                <c:pt idx="2">
                  <c:v>53.245318791361562</c:v>
                </c:pt>
                <c:pt idx="3">
                  <c:v>70.077410450622807</c:v>
                </c:pt>
                <c:pt idx="4">
                  <c:v>80.394145996805918</c:v>
                </c:pt>
                <c:pt idx="5">
                  <c:v>74.051535184484905</c:v>
                </c:pt>
                <c:pt idx="6">
                  <c:v>52.049376341475821</c:v>
                </c:pt>
              </c:numCache>
            </c:numRef>
          </c:val>
          <c:extLst>
            <c:ext xmlns:c16="http://schemas.microsoft.com/office/drawing/2014/chart" uri="{C3380CC4-5D6E-409C-BE32-E72D297353CC}">
              <c16:uniqueId val="{00000000-5576-4A62-916A-A5CB38EAD75F}"/>
            </c:ext>
          </c:extLst>
        </c:ser>
        <c:ser>
          <c:idx val="1"/>
          <c:order val="1"/>
          <c:tx>
            <c:strRef>
              <c:f>'FIGURA 3'!$C$3</c:f>
              <c:strCache>
                <c:ptCount val="1"/>
                <c:pt idx="0">
                  <c:v>Ho limitato la spesa</c:v>
                </c:pt>
              </c:strCache>
            </c:strRef>
          </c:tx>
          <c:spPr>
            <a:solidFill>
              <a:srgbClr val="E42618"/>
            </a:solidFill>
          </c:spPr>
          <c:invertIfNegative val="0"/>
          <c:dLbls>
            <c:numFmt formatCode="#,##0.0" sourceLinked="0"/>
            <c:spPr>
              <a:noFill/>
              <a:ln>
                <a:noFill/>
              </a:ln>
              <a:effectLst/>
            </c:spPr>
            <c:txPr>
              <a:bodyPr wrap="square" lIns="38100" tIns="19050" rIns="38100" bIns="19050" anchor="ctr">
                <a:spAutoFit/>
              </a:bodyPr>
              <a:lstStyle/>
              <a:p>
                <a:pPr>
                  <a:defRPr sz="800"/>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3'!$A$4:$A$10</c:f>
              <c:strCache>
                <c:ptCount val="7"/>
                <c:pt idx="0">
                  <c:v>Cibi</c:v>
                </c:pt>
                <c:pt idx="1">
                  <c:v>Bevande</c:v>
                </c:pt>
                <c:pt idx="2">
                  <c:v>Abbigliamento e calzature</c:v>
                </c:pt>
                <c:pt idx="3">
                  <c:v>Cura e igiene personale</c:v>
                </c:pt>
                <c:pt idx="4">
                  <c:v>Visite mediche e accertamenti periodici</c:v>
                </c:pt>
                <c:pt idx="5">
                  <c:v>Carburanti per mezzi privati</c:v>
                </c:pt>
                <c:pt idx="6">
                  <c:v>Viaggi e vacanze</c:v>
                </c:pt>
              </c:strCache>
            </c:strRef>
          </c:cat>
          <c:val>
            <c:numRef>
              <c:f>'FIGURA 3'!$C$4:$C$10</c:f>
              <c:numCache>
                <c:formatCode>0.0</c:formatCode>
                <c:ptCount val="7"/>
                <c:pt idx="0" formatCode="0.0;[Red]0.0">
                  <c:v>23.952585690879229</c:v>
                </c:pt>
                <c:pt idx="1">
                  <c:v>28.073470804670293</c:v>
                </c:pt>
                <c:pt idx="2">
                  <c:v>45.518782036701857</c:v>
                </c:pt>
                <c:pt idx="3">
                  <c:v>28.528174139723333</c:v>
                </c:pt>
                <c:pt idx="4">
                  <c:v>15.702567991116196</c:v>
                </c:pt>
                <c:pt idx="5">
                  <c:v>24.460585145611212</c:v>
                </c:pt>
                <c:pt idx="6">
                  <c:v>46.809030780990781</c:v>
                </c:pt>
              </c:numCache>
            </c:numRef>
          </c:val>
          <c:extLst>
            <c:ext xmlns:c16="http://schemas.microsoft.com/office/drawing/2014/chart" uri="{C3380CC4-5D6E-409C-BE32-E72D297353CC}">
              <c16:uniqueId val="{00000001-5576-4A62-916A-A5CB38EAD75F}"/>
            </c:ext>
          </c:extLst>
        </c:ser>
        <c:ser>
          <c:idx val="2"/>
          <c:order val="2"/>
          <c:tx>
            <c:strRef>
              <c:f>'FIGURA 3'!$D$3</c:f>
              <c:strCache>
                <c:ptCount val="1"/>
                <c:pt idx="0">
                  <c:v>Ho aumentato la spesa</c:v>
                </c:pt>
              </c:strCache>
            </c:strRef>
          </c:tx>
          <c:spPr>
            <a:solidFill>
              <a:srgbClr val="9BBB59"/>
            </a:solidFill>
          </c:spPr>
          <c:invertIfNegative val="0"/>
          <c:dLbls>
            <c:numFmt formatCode="#,##0.0" sourceLinked="0"/>
            <c:spPr>
              <a:noFill/>
              <a:ln>
                <a:noFill/>
              </a:ln>
              <a:effectLst/>
            </c:spPr>
            <c:txPr>
              <a:bodyPr wrap="square" lIns="38100" tIns="19050" rIns="38100" bIns="19050" anchor="ctr">
                <a:spAutoFit/>
              </a:bodyPr>
              <a:lstStyle/>
              <a:p>
                <a:pPr>
                  <a:defRPr sz="800"/>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3'!$A$4:$A$10</c:f>
              <c:strCache>
                <c:ptCount val="7"/>
                <c:pt idx="0">
                  <c:v>Cibi</c:v>
                </c:pt>
                <c:pt idx="1">
                  <c:v>Bevande</c:v>
                </c:pt>
                <c:pt idx="2">
                  <c:v>Abbigliamento e calzature</c:v>
                </c:pt>
                <c:pt idx="3">
                  <c:v>Cura e igiene personale</c:v>
                </c:pt>
                <c:pt idx="4">
                  <c:v>Visite mediche e accertamenti periodici</c:v>
                </c:pt>
                <c:pt idx="5">
                  <c:v>Carburanti per mezzi privati</c:v>
                </c:pt>
                <c:pt idx="6">
                  <c:v>Viaggi e vacanze</c:v>
                </c:pt>
              </c:strCache>
            </c:strRef>
          </c:cat>
          <c:val>
            <c:numRef>
              <c:f>'FIGURA 3'!$D$4:$D$10</c:f>
              <c:numCache>
                <c:formatCode>0.0</c:formatCode>
                <c:ptCount val="7"/>
                <c:pt idx="0" formatCode="0.0;[Red]0.0">
                  <c:v>1.8627794738199914</c:v>
                </c:pt>
                <c:pt idx="1">
                  <c:v>1.2872949349495222</c:v>
                </c:pt>
                <c:pt idx="2">
                  <c:v>1.2358991719365864</c:v>
                </c:pt>
                <c:pt idx="3">
                  <c:v>1.3944154096538484</c:v>
                </c:pt>
                <c:pt idx="4">
                  <c:v>3.9032860120778778</c:v>
                </c:pt>
                <c:pt idx="5">
                  <c:v>1.4878796699038914</c:v>
                </c:pt>
                <c:pt idx="6">
                  <c:v>1.1415928775334085</c:v>
                </c:pt>
              </c:numCache>
            </c:numRef>
          </c:val>
          <c:extLst>
            <c:ext xmlns:c16="http://schemas.microsoft.com/office/drawing/2014/chart" uri="{C3380CC4-5D6E-409C-BE32-E72D297353CC}">
              <c16:uniqueId val="{00000002-5576-4A62-916A-A5CB38EAD75F}"/>
            </c:ext>
          </c:extLst>
        </c:ser>
        <c:dLbls>
          <c:showLegendKey val="0"/>
          <c:showVal val="0"/>
          <c:showCatName val="0"/>
          <c:showSerName val="0"/>
          <c:showPercent val="0"/>
          <c:showBubbleSize val="0"/>
        </c:dLbls>
        <c:gapWidth val="100"/>
        <c:axId val="178311936"/>
        <c:axId val="178313472"/>
      </c:barChart>
      <c:catAx>
        <c:axId val="178311936"/>
        <c:scaling>
          <c:orientation val="minMax"/>
        </c:scaling>
        <c:delete val="0"/>
        <c:axPos val="b"/>
        <c:majorGridlines>
          <c:spPr>
            <a:ln>
              <a:solidFill>
                <a:schemeClr val="bg1"/>
              </a:solidFill>
            </a:ln>
          </c:spPr>
        </c:majorGridlines>
        <c:numFmt formatCode="General" sourceLinked="0"/>
        <c:majorTickMark val="out"/>
        <c:minorTickMark val="none"/>
        <c:tickLblPos val="nextTo"/>
        <c:spPr>
          <a:ln w="3175">
            <a:solidFill>
              <a:schemeClr val="bg1"/>
            </a:solidFill>
          </a:ln>
        </c:spPr>
        <c:txPr>
          <a:bodyPr/>
          <a:lstStyle/>
          <a:p>
            <a:pPr>
              <a:defRPr b="1"/>
            </a:pPr>
            <a:endParaRPr lang="it-IT"/>
          </a:p>
        </c:txPr>
        <c:crossAx val="178313472"/>
        <c:crosses val="autoZero"/>
        <c:auto val="1"/>
        <c:lblAlgn val="ctr"/>
        <c:lblOffset val="100"/>
        <c:noMultiLvlLbl val="0"/>
      </c:catAx>
      <c:valAx>
        <c:axId val="178313472"/>
        <c:scaling>
          <c:orientation val="minMax"/>
        </c:scaling>
        <c:delete val="1"/>
        <c:axPos val="l"/>
        <c:majorGridlines>
          <c:spPr>
            <a:ln>
              <a:solidFill>
                <a:schemeClr val="bg1"/>
              </a:solidFill>
            </a:ln>
          </c:spPr>
        </c:majorGridlines>
        <c:numFmt formatCode="0.0;[Red]0.0" sourceLinked="1"/>
        <c:majorTickMark val="out"/>
        <c:minorTickMark val="none"/>
        <c:tickLblPos val="nextTo"/>
        <c:crossAx val="178311936"/>
        <c:crosses val="autoZero"/>
        <c:crossBetween val="between"/>
      </c:valAx>
      <c:spPr>
        <a:noFill/>
        <a:ln>
          <a:solidFill>
            <a:schemeClr val="bg1"/>
          </a:solidFill>
        </a:ln>
      </c:spPr>
    </c:plotArea>
    <c:legend>
      <c:legendPos val="t"/>
      <c:layout>
        <c:manualLayout>
          <c:xMode val="edge"/>
          <c:yMode val="edge"/>
          <c:x val="0.17660612334525377"/>
          <c:y val="6.4297630964297636E-2"/>
          <c:w val="0.6535984500360168"/>
          <c:h val="5.0657780262408636E-2"/>
        </c:manualLayout>
      </c:layout>
      <c:overlay val="0"/>
      <c:txPr>
        <a:bodyPr/>
        <a:lstStyle/>
        <a:p>
          <a:pPr rtl="0">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74766296505425"/>
          <c:y val="0.15175462962962963"/>
          <c:w val="0.64654063492063496"/>
          <c:h val="0.72966342592592592"/>
        </c:manualLayout>
      </c:layout>
      <c:barChart>
        <c:barDir val="bar"/>
        <c:grouping val="clustered"/>
        <c:varyColors val="0"/>
        <c:ser>
          <c:idx val="2"/>
          <c:order val="0"/>
          <c:tx>
            <c:strRef>
              <c:f>'FIGURA 4'!$A$5</c:f>
              <c:strCache>
                <c:ptCount val="1"/>
                <c:pt idx="0">
                  <c:v>Spesa media mensile per beni e servizi non alimentari</c:v>
                </c:pt>
              </c:strCache>
            </c:strRef>
          </c:tx>
          <c:spPr>
            <a:solidFill>
              <a:srgbClr val="9BBB59"/>
            </a:solidFill>
          </c:spPr>
          <c:invertIfNegative val="0"/>
          <c:cat>
            <c:strRef>
              <c:f>'FIGURA 4'!$B$2:$I$2</c:f>
              <c:strCache>
                <c:ptCount val="8"/>
                <c:pt idx="0">
                  <c:v>Totale famiglie</c:v>
                </c:pt>
                <c:pt idx="1">
                  <c:v>In altra condizione (diversa da ritirato/a dal lavoro)</c:v>
                </c:pt>
                <c:pt idx="2">
                  <c:v>In cerca di occupazione</c:v>
                </c:pt>
                <c:pt idx="3">
                  <c:v>Ritirato/a dal lavoro</c:v>
                </c:pt>
                <c:pt idx="4">
                  <c:v>Indipendente: altro indipendente</c:v>
                </c:pt>
                <c:pt idx="5">
                  <c:v>Indipendente: imprenditore e libero professionista</c:v>
                </c:pt>
                <c:pt idx="6">
                  <c:v>Dipendente: operaio e assimilato</c:v>
                </c:pt>
                <c:pt idx="7">
                  <c:v>Dipendente: dirigente, quadro e impiegato</c:v>
                </c:pt>
              </c:strCache>
            </c:strRef>
          </c:cat>
          <c:val>
            <c:numRef>
              <c:f>'FIGURA 4'!$B$5:$I$5</c:f>
              <c:numCache>
                <c:formatCode>_(* #,##0.00_);_(* \(#,##0.00\);_(* "-"??_);_(@_)</c:formatCode>
                <c:ptCount val="8"/>
                <c:pt idx="0">
                  <c:v>1860.68</c:v>
                </c:pt>
                <c:pt idx="1">
                  <c:v>1290.6600000000001</c:v>
                </c:pt>
                <c:pt idx="2">
                  <c:v>1338.99</c:v>
                </c:pt>
                <c:pt idx="3">
                  <c:v>1705.46</c:v>
                </c:pt>
                <c:pt idx="4">
                  <c:v>2132.96</c:v>
                </c:pt>
                <c:pt idx="5">
                  <c:v>2912.88</c:v>
                </c:pt>
                <c:pt idx="6">
                  <c:v>1658.31</c:v>
                </c:pt>
                <c:pt idx="7">
                  <c:v>2433.41</c:v>
                </c:pt>
              </c:numCache>
            </c:numRef>
          </c:val>
          <c:extLst>
            <c:ext xmlns:c16="http://schemas.microsoft.com/office/drawing/2014/chart" uri="{C3380CC4-5D6E-409C-BE32-E72D297353CC}">
              <c16:uniqueId val="{00000000-EFD2-4D7B-983B-06C64762D706}"/>
            </c:ext>
          </c:extLst>
        </c:ser>
        <c:ser>
          <c:idx val="1"/>
          <c:order val="1"/>
          <c:tx>
            <c:strRef>
              <c:f>'FIGURA 4'!$A$4</c:f>
              <c:strCache>
                <c:ptCount val="1"/>
                <c:pt idx="0">
                  <c:v>Spesa media mensile per alimentari e bevande analcoliche</c:v>
                </c:pt>
              </c:strCache>
            </c:strRef>
          </c:tx>
          <c:spPr>
            <a:solidFill>
              <a:srgbClr val="E42618"/>
            </a:solidFill>
          </c:spPr>
          <c:invertIfNegative val="0"/>
          <c:cat>
            <c:strRef>
              <c:f>'FIGURA 4'!$B$2:$I$2</c:f>
              <c:strCache>
                <c:ptCount val="8"/>
                <c:pt idx="0">
                  <c:v>Totale famiglie</c:v>
                </c:pt>
                <c:pt idx="1">
                  <c:v>In altra condizione (diversa da ritirato/a dal lavoro)</c:v>
                </c:pt>
                <c:pt idx="2">
                  <c:v>In cerca di occupazione</c:v>
                </c:pt>
                <c:pt idx="3">
                  <c:v>Ritirato/a dal lavoro</c:v>
                </c:pt>
                <c:pt idx="4">
                  <c:v>Indipendente: altro indipendente</c:v>
                </c:pt>
                <c:pt idx="5">
                  <c:v>Indipendente: imprenditore e libero professionista</c:v>
                </c:pt>
                <c:pt idx="6">
                  <c:v>Dipendente: operaio e assimilato</c:v>
                </c:pt>
                <c:pt idx="7">
                  <c:v>Dipendente: dirigente, quadro e impiegato</c:v>
                </c:pt>
              </c:strCache>
            </c:strRef>
          </c:cat>
          <c:val>
            <c:numRef>
              <c:f>'FIGURA 4'!$B$4:$I$4</c:f>
              <c:numCache>
                <c:formatCode>_(* #,##0.00_);_(* \(#,##0.00\);_(* "-"??_);_(@_)</c:formatCode>
                <c:ptCount val="8"/>
                <c:pt idx="0">
                  <c:v>467.56</c:v>
                </c:pt>
                <c:pt idx="1">
                  <c:v>385.93</c:v>
                </c:pt>
                <c:pt idx="2">
                  <c:v>436.6</c:v>
                </c:pt>
                <c:pt idx="3">
                  <c:v>445.99</c:v>
                </c:pt>
                <c:pt idx="4">
                  <c:v>514.45000000000005</c:v>
                </c:pt>
                <c:pt idx="5">
                  <c:v>558.04</c:v>
                </c:pt>
                <c:pt idx="6">
                  <c:v>477</c:v>
                </c:pt>
                <c:pt idx="7">
                  <c:v>515.83000000000004</c:v>
                </c:pt>
              </c:numCache>
            </c:numRef>
          </c:val>
          <c:extLst>
            <c:ext xmlns:c16="http://schemas.microsoft.com/office/drawing/2014/chart" uri="{C3380CC4-5D6E-409C-BE32-E72D297353CC}">
              <c16:uniqueId val="{00000001-EFD2-4D7B-983B-06C64762D706}"/>
            </c:ext>
          </c:extLst>
        </c:ser>
        <c:ser>
          <c:idx val="0"/>
          <c:order val="2"/>
          <c:tx>
            <c:strRef>
              <c:f>'FIGURA 4'!$A$3</c:f>
              <c:strCache>
                <c:ptCount val="1"/>
                <c:pt idx="0">
                  <c:v>Spesa media mensile</c:v>
                </c:pt>
              </c:strCache>
            </c:strRef>
          </c:tx>
          <c:spPr>
            <a:solidFill>
              <a:srgbClr val="1F497D"/>
            </a:solidFill>
          </c:spPr>
          <c:invertIfNegative val="0"/>
          <c:cat>
            <c:strRef>
              <c:f>'FIGURA 4'!$B$2:$I$2</c:f>
              <c:strCache>
                <c:ptCount val="8"/>
                <c:pt idx="0">
                  <c:v>Totale famiglie</c:v>
                </c:pt>
                <c:pt idx="1">
                  <c:v>In altra condizione (diversa da ritirato/a dal lavoro)</c:v>
                </c:pt>
                <c:pt idx="2">
                  <c:v>In cerca di occupazione</c:v>
                </c:pt>
                <c:pt idx="3">
                  <c:v>Ritirato/a dal lavoro</c:v>
                </c:pt>
                <c:pt idx="4">
                  <c:v>Indipendente: altro indipendente</c:v>
                </c:pt>
                <c:pt idx="5">
                  <c:v>Indipendente: imprenditore e libero professionista</c:v>
                </c:pt>
                <c:pt idx="6">
                  <c:v>Dipendente: operaio e assimilato</c:v>
                </c:pt>
                <c:pt idx="7">
                  <c:v>Dipendente: dirigente, quadro e impiegato</c:v>
                </c:pt>
              </c:strCache>
            </c:strRef>
          </c:cat>
          <c:val>
            <c:numRef>
              <c:f>'FIGURA 4'!$B$3:$I$3</c:f>
              <c:numCache>
                <c:formatCode>_(* #,##0.00_);_(* \(#,##0.00\);_(* "-"??_);_(@_)</c:formatCode>
                <c:ptCount val="8"/>
                <c:pt idx="0">
                  <c:v>2328.23</c:v>
                </c:pt>
                <c:pt idx="1">
                  <c:v>1676.59</c:v>
                </c:pt>
                <c:pt idx="2">
                  <c:v>1775.59</c:v>
                </c:pt>
                <c:pt idx="3">
                  <c:v>2151.4499999999998</c:v>
                </c:pt>
                <c:pt idx="4">
                  <c:v>2647.41</c:v>
                </c:pt>
                <c:pt idx="5">
                  <c:v>3470.92</c:v>
                </c:pt>
                <c:pt idx="6">
                  <c:v>2135.31</c:v>
                </c:pt>
                <c:pt idx="7">
                  <c:v>2949.24</c:v>
                </c:pt>
              </c:numCache>
            </c:numRef>
          </c:val>
          <c:extLst>
            <c:ext xmlns:c16="http://schemas.microsoft.com/office/drawing/2014/chart" uri="{C3380CC4-5D6E-409C-BE32-E72D297353CC}">
              <c16:uniqueId val="{00000002-EFD2-4D7B-983B-06C64762D706}"/>
            </c:ext>
          </c:extLst>
        </c:ser>
        <c:dLbls>
          <c:showLegendKey val="0"/>
          <c:showVal val="0"/>
          <c:showCatName val="0"/>
          <c:showSerName val="0"/>
          <c:showPercent val="0"/>
          <c:showBubbleSize val="0"/>
        </c:dLbls>
        <c:gapWidth val="150"/>
        <c:axId val="178352512"/>
        <c:axId val="178354048"/>
      </c:barChart>
      <c:catAx>
        <c:axId val="178352512"/>
        <c:scaling>
          <c:orientation val="minMax"/>
        </c:scaling>
        <c:delete val="0"/>
        <c:axPos val="l"/>
        <c:majorGridlines>
          <c:spPr>
            <a:ln w="3175">
              <a:solidFill>
                <a:schemeClr val="bg1"/>
              </a:solidFill>
            </a:ln>
          </c:spPr>
        </c:majorGridlines>
        <c:numFmt formatCode="General" sourceLinked="0"/>
        <c:majorTickMark val="out"/>
        <c:minorTickMark val="none"/>
        <c:tickLblPos val="nextTo"/>
        <c:spPr>
          <a:ln>
            <a:solidFill>
              <a:schemeClr val="bg1"/>
            </a:solidFill>
          </a:ln>
        </c:spPr>
        <c:crossAx val="178354048"/>
        <c:crossesAt val="0"/>
        <c:auto val="1"/>
        <c:lblAlgn val="ctr"/>
        <c:lblOffset val="100"/>
        <c:noMultiLvlLbl val="0"/>
      </c:catAx>
      <c:valAx>
        <c:axId val="178354048"/>
        <c:scaling>
          <c:orientation val="minMax"/>
          <c:max val="3500"/>
          <c:min val="0"/>
        </c:scaling>
        <c:delete val="0"/>
        <c:axPos val="b"/>
        <c:majorGridlines>
          <c:spPr>
            <a:ln w="3175">
              <a:solidFill>
                <a:schemeClr val="bg1"/>
              </a:solidFill>
            </a:ln>
          </c:spPr>
        </c:majorGridlines>
        <c:numFmt formatCode="#,##0" sourceLinked="0"/>
        <c:majorTickMark val="none"/>
        <c:minorTickMark val="none"/>
        <c:tickLblPos val="nextTo"/>
        <c:spPr>
          <a:ln>
            <a:solidFill>
              <a:schemeClr val="bg1"/>
            </a:solidFill>
          </a:ln>
        </c:spPr>
        <c:txPr>
          <a:bodyPr/>
          <a:lstStyle/>
          <a:p>
            <a:pPr>
              <a:defRPr b="1"/>
            </a:pPr>
            <a:endParaRPr lang="it-IT"/>
          </a:p>
        </c:txPr>
        <c:crossAx val="178352512"/>
        <c:crosses val="autoZero"/>
        <c:crossBetween val="between"/>
      </c:valAx>
      <c:spPr>
        <a:noFill/>
        <a:ln w="3175">
          <a:solidFill>
            <a:schemeClr val="bg1"/>
          </a:solidFill>
        </a:ln>
      </c:spPr>
    </c:plotArea>
    <c:legend>
      <c:legendPos val="t"/>
      <c:layout>
        <c:manualLayout>
          <c:xMode val="edge"/>
          <c:yMode val="edge"/>
          <c:x val="3.9952318213187813E-3"/>
          <c:y val="3.178178178178178E-2"/>
          <c:w val="0.97806575067444634"/>
          <c:h val="0.10952118785452118"/>
        </c:manualLayout>
      </c:layout>
      <c:overlay val="0"/>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821318777840523E-2"/>
          <c:y val="0.2183103937270604"/>
          <c:w val="0.89980777582658278"/>
          <c:h val="0.64880271309799276"/>
        </c:manualLayout>
      </c:layout>
      <c:barChart>
        <c:barDir val="col"/>
        <c:grouping val="clustered"/>
        <c:varyColors val="0"/>
        <c:ser>
          <c:idx val="0"/>
          <c:order val="0"/>
          <c:tx>
            <c:strRef>
              <c:f>'FIGURA 5'!$A$3</c:f>
              <c:strCache>
                <c:ptCount val="1"/>
                <c:pt idx="0">
                  <c:v>Spesa media mensile</c:v>
                </c:pt>
              </c:strCache>
            </c:strRef>
          </c:tx>
          <c:spPr>
            <a:solidFill>
              <a:srgbClr val="1F497D"/>
            </a:solidFill>
          </c:spPr>
          <c:invertIfNegative val="0"/>
          <c:dPt>
            <c:idx val="0"/>
            <c:invertIfNegative val="0"/>
            <c:bubble3D val="0"/>
            <c:extLst>
              <c:ext xmlns:c16="http://schemas.microsoft.com/office/drawing/2014/chart" uri="{C3380CC4-5D6E-409C-BE32-E72D297353CC}">
                <c16:uniqueId val="{00000000-B0F1-4570-B9E3-891B4ECF828A}"/>
              </c:ext>
            </c:extLst>
          </c:dPt>
          <c:dPt>
            <c:idx val="1"/>
            <c:invertIfNegative val="0"/>
            <c:bubble3D val="0"/>
            <c:extLst>
              <c:ext xmlns:c16="http://schemas.microsoft.com/office/drawing/2014/chart" uri="{C3380CC4-5D6E-409C-BE32-E72D297353CC}">
                <c16:uniqueId val="{00000001-B0F1-4570-B9E3-891B4ECF828A}"/>
              </c:ext>
            </c:extLst>
          </c:dPt>
          <c:dPt>
            <c:idx val="2"/>
            <c:invertIfNegative val="0"/>
            <c:bubble3D val="0"/>
            <c:extLst>
              <c:ext xmlns:c16="http://schemas.microsoft.com/office/drawing/2014/chart" uri="{C3380CC4-5D6E-409C-BE32-E72D297353CC}">
                <c16:uniqueId val="{00000002-B0F1-4570-B9E3-891B4ECF828A}"/>
              </c:ext>
            </c:extLst>
          </c:dPt>
          <c:cat>
            <c:strRef>
              <c:f>'FIGURA 5'!$B$2:$D$2</c:f>
              <c:strCache>
                <c:ptCount val="3"/>
                <c:pt idx="0">
                  <c:v>Famiglie di soli italiani</c:v>
                </c:pt>
                <c:pt idx="1">
                  <c:v>Famiglie con almeno uno straniero</c:v>
                </c:pt>
                <c:pt idx="2">
                  <c:v>Totale famiglie</c:v>
                </c:pt>
              </c:strCache>
            </c:strRef>
          </c:cat>
          <c:val>
            <c:numRef>
              <c:f>'FIGURA 5'!$B$3:$D$3</c:f>
              <c:numCache>
                <c:formatCode>_(* #,##0.00_);_(* \(#,##0.00\);_(* "-"??_);_(@_)</c:formatCode>
                <c:ptCount val="3"/>
                <c:pt idx="0">
                  <c:v>2369.35</c:v>
                </c:pt>
                <c:pt idx="1">
                  <c:v>1892.12</c:v>
                </c:pt>
                <c:pt idx="2">
                  <c:v>2328.23</c:v>
                </c:pt>
              </c:numCache>
            </c:numRef>
          </c:val>
          <c:extLst>
            <c:ext xmlns:c16="http://schemas.microsoft.com/office/drawing/2014/chart" uri="{C3380CC4-5D6E-409C-BE32-E72D297353CC}">
              <c16:uniqueId val="{00000003-B0F1-4570-B9E3-891B4ECF828A}"/>
            </c:ext>
          </c:extLst>
        </c:ser>
        <c:ser>
          <c:idx val="1"/>
          <c:order val="1"/>
          <c:tx>
            <c:strRef>
              <c:f>'FIGURA 5'!$A$4</c:f>
              <c:strCache>
                <c:ptCount val="1"/>
                <c:pt idx="0">
                  <c:v>Spesa media mensile per alimentari e bevande analcoliche</c:v>
                </c:pt>
              </c:strCache>
            </c:strRef>
          </c:tx>
          <c:spPr>
            <a:solidFill>
              <a:srgbClr val="E42618"/>
            </a:solidFill>
          </c:spPr>
          <c:invertIfNegative val="0"/>
          <c:cat>
            <c:strRef>
              <c:f>'FIGURA 5'!$B$2:$D$2</c:f>
              <c:strCache>
                <c:ptCount val="3"/>
                <c:pt idx="0">
                  <c:v>Famiglie di soli italiani</c:v>
                </c:pt>
                <c:pt idx="1">
                  <c:v>Famiglie con almeno uno straniero</c:v>
                </c:pt>
                <c:pt idx="2">
                  <c:v>Totale famiglie</c:v>
                </c:pt>
              </c:strCache>
            </c:strRef>
          </c:cat>
          <c:val>
            <c:numRef>
              <c:f>'FIGURA 5'!$B$4:$D$4</c:f>
              <c:numCache>
                <c:formatCode>_(* #,##0.00_);_(* \(#,##0.00\);_(* "-"??_);_(@_)</c:formatCode>
                <c:ptCount val="3"/>
                <c:pt idx="0">
                  <c:v>470.51</c:v>
                </c:pt>
                <c:pt idx="1">
                  <c:v>436.26</c:v>
                </c:pt>
                <c:pt idx="2">
                  <c:v>467.56</c:v>
                </c:pt>
              </c:numCache>
            </c:numRef>
          </c:val>
          <c:extLst>
            <c:ext xmlns:c16="http://schemas.microsoft.com/office/drawing/2014/chart" uri="{C3380CC4-5D6E-409C-BE32-E72D297353CC}">
              <c16:uniqueId val="{00000004-B0F1-4570-B9E3-891B4ECF828A}"/>
            </c:ext>
          </c:extLst>
        </c:ser>
        <c:ser>
          <c:idx val="2"/>
          <c:order val="2"/>
          <c:tx>
            <c:strRef>
              <c:f>'FIGURA 5'!$A$5</c:f>
              <c:strCache>
                <c:ptCount val="1"/>
                <c:pt idx="0">
                  <c:v>Spesa media mensile per beni e servizi non alimentari</c:v>
                </c:pt>
              </c:strCache>
            </c:strRef>
          </c:tx>
          <c:spPr>
            <a:solidFill>
              <a:srgbClr val="9BBB59"/>
            </a:solidFill>
          </c:spPr>
          <c:invertIfNegative val="0"/>
          <c:cat>
            <c:strRef>
              <c:f>'FIGURA 5'!$B$2:$D$2</c:f>
              <c:strCache>
                <c:ptCount val="3"/>
                <c:pt idx="0">
                  <c:v>Famiglie di soli italiani</c:v>
                </c:pt>
                <c:pt idx="1">
                  <c:v>Famiglie con almeno uno straniero</c:v>
                </c:pt>
                <c:pt idx="2">
                  <c:v>Totale famiglie</c:v>
                </c:pt>
              </c:strCache>
            </c:strRef>
          </c:cat>
          <c:val>
            <c:numRef>
              <c:f>'FIGURA 5'!$B$5:$D$5</c:f>
              <c:numCache>
                <c:formatCode>_(* #,##0.00_);_(* \(#,##0.00\);_(* "-"??_);_(@_)</c:formatCode>
                <c:ptCount val="3"/>
                <c:pt idx="0">
                  <c:v>1898.84</c:v>
                </c:pt>
                <c:pt idx="1">
                  <c:v>1455.87</c:v>
                </c:pt>
                <c:pt idx="2">
                  <c:v>1860.68</c:v>
                </c:pt>
              </c:numCache>
            </c:numRef>
          </c:val>
          <c:extLst>
            <c:ext xmlns:c16="http://schemas.microsoft.com/office/drawing/2014/chart" uri="{C3380CC4-5D6E-409C-BE32-E72D297353CC}">
              <c16:uniqueId val="{00000005-B0F1-4570-B9E3-891B4ECF828A}"/>
            </c:ext>
          </c:extLst>
        </c:ser>
        <c:dLbls>
          <c:showLegendKey val="0"/>
          <c:showVal val="0"/>
          <c:showCatName val="0"/>
          <c:showSerName val="0"/>
          <c:showPercent val="0"/>
          <c:showBubbleSize val="0"/>
        </c:dLbls>
        <c:gapWidth val="150"/>
        <c:axId val="185075968"/>
        <c:axId val="185081856"/>
      </c:barChart>
      <c:catAx>
        <c:axId val="185075968"/>
        <c:scaling>
          <c:orientation val="minMax"/>
        </c:scaling>
        <c:delete val="0"/>
        <c:axPos val="b"/>
        <c:majorGridlines>
          <c:spPr>
            <a:ln>
              <a:solidFill>
                <a:schemeClr val="bg1"/>
              </a:solidFill>
            </a:ln>
          </c:spPr>
        </c:majorGridlines>
        <c:numFmt formatCode="General" sourceLinked="0"/>
        <c:majorTickMark val="out"/>
        <c:minorTickMark val="none"/>
        <c:tickLblPos val="nextTo"/>
        <c:spPr>
          <a:ln>
            <a:solidFill>
              <a:schemeClr val="bg1"/>
            </a:solidFill>
          </a:ln>
        </c:spPr>
        <c:txPr>
          <a:bodyPr/>
          <a:lstStyle/>
          <a:p>
            <a:pPr>
              <a:defRPr b="1"/>
            </a:pPr>
            <a:endParaRPr lang="it-IT"/>
          </a:p>
        </c:txPr>
        <c:crossAx val="185081856"/>
        <c:crosses val="autoZero"/>
        <c:auto val="1"/>
        <c:lblAlgn val="ctr"/>
        <c:lblOffset val="100"/>
        <c:noMultiLvlLbl val="0"/>
      </c:catAx>
      <c:valAx>
        <c:axId val="185081856"/>
        <c:scaling>
          <c:orientation val="minMax"/>
        </c:scaling>
        <c:delete val="0"/>
        <c:axPos val="l"/>
        <c:majorGridlines>
          <c:spPr>
            <a:ln>
              <a:solidFill>
                <a:schemeClr val="bg1"/>
              </a:solidFill>
            </a:ln>
          </c:spPr>
        </c:majorGridlines>
        <c:numFmt formatCode="#,##0" sourceLinked="0"/>
        <c:majorTickMark val="out"/>
        <c:minorTickMark val="none"/>
        <c:tickLblPos val="nextTo"/>
        <c:spPr>
          <a:ln>
            <a:solidFill>
              <a:schemeClr val="bg1"/>
            </a:solidFill>
          </a:ln>
        </c:spPr>
        <c:crossAx val="185075968"/>
        <c:crosses val="autoZero"/>
        <c:crossBetween val="between"/>
      </c:valAx>
      <c:spPr>
        <a:noFill/>
        <a:ln>
          <a:solidFill>
            <a:schemeClr val="bg1"/>
          </a:solidFill>
        </a:ln>
      </c:spPr>
    </c:plotArea>
    <c:legend>
      <c:legendPos val="t"/>
      <c:layout>
        <c:manualLayout>
          <c:xMode val="edge"/>
          <c:yMode val="edge"/>
          <c:x val="1.3050850116067507E-2"/>
          <c:y val="2.6016255721357025E-2"/>
          <c:w val="0.97855856703682786"/>
          <c:h val="9.1059259259259256E-2"/>
        </c:manualLayout>
      </c:layout>
      <c:overlay val="0"/>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47302524481362E-2"/>
          <c:y val="0.25738888888888889"/>
          <c:w val="0.8822381658879147"/>
          <c:h val="0.47979929620337791"/>
        </c:manualLayout>
      </c:layout>
      <c:barChart>
        <c:barDir val="col"/>
        <c:grouping val="clustered"/>
        <c:varyColors val="0"/>
        <c:ser>
          <c:idx val="0"/>
          <c:order val="0"/>
          <c:tx>
            <c:strRef>
              <c:f>'DATI FIGURA SINISTRA'!$B$2</c:f>
              <c:strCache>
                <c:ptCount val="1"/>
                <c:pt idx="0">
                  <c:v>Quota di famiglie affittuarie (% su totale famiglie)</c:v>
                </c:pt>
              </c:strCache>
            </c:strRef>
          </c:tx>
          <c:spPr>
            <a:solidFill>
              <a:srgbClr val="E42618"/>
            </a:solidFill>
          </c:spPr>
          <c:invertIfNegative val="0"/>
          <c:dPt>
            <c:idx val="0"/>
            <c:invertIfNegative val="0"/>
            <c:bubble3D val="0"/>
            <c:extLst>
              <c:ext xmlns:c16="http://schemas.microsoft.com/office/drawing/2014/chart" uri="{C3380CC4-5D6E-409C-BE32-E72D297353CC}">
                <c16:uniqueId val="{00000000-3367-4C11-90A8-9E06EADF86FA}"/>
              </c:ext>
            </c:extLst>
          </c:dPt>
          <c:dPt>
            <c:idx val="1"/>
            <c:invertIfNegative val="0"/>
            <c:bubble3D val="0"/>
            <c:extLst>
              <c:ext xmlns:c16="http://schemas.microsoft.com/office/drawing/2014/chart" uri="{C3380CC4-5D6E-409C-BE32-E72D297353CC}">
                <c16:uniqueId val="{00000001-3367-4C11-90A8-9E06EADF86FA}"/>
              </c:ext>
            </c:extLst>
          </c:dPt>
          <c:dPt>
            <c:idx val="2"/>
            <c:invertIfNegative val="0"/>
            <c:bubble3D val="0"/>
            <c:extLst>
              <c:ext xmlns:c16="http://schemas.microsoft.com/office/drawing/2014/chart" uri="{C3380CC4-5D6E-409C-BE32-E72D297353CC}">
                <c16:uniqueId val="{00000002-3367-4C11-90A8-9E06EADF86FA}"/>
              </c:ext>
            </c:extLst>
          </c:dPt>
          <c:dLbls>
            <c:dLbl>
              <c:idx val="0"/>
              <c:layout>
                <c:manualLayout>
                  <c:x val="-1.9025655404263999E-17"/>
                  <c:y val="-4.64495157746563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67-4C11-90A8-9E06EADF86FA}"/>
                </c:ext>
              </c:extLst>
            </c:dLbl>
            <c:numFmt formatCode="#,##0.0" sourceLinked="0"/>
            <c:spPr>
              <a:noFill/>
              <a:ln>
                <a:noFill/>
              </a:ln>
              <a:effectLst/>
            </c:spPr>
            <c:txPr>
              <a:bodyPr wrap="square" lIns="38100" tIns="19050" rIns="38100" bIns="19050" anchor="ctr">
                <a:spAutoFit/>
              </a:bodyPr>
              <a:lstStyle/>
              <a:p>
                <a:pPr>
                  <a:defRPr sz="800"/>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 FIGURA SINISTRA'!$A$3:$A$5</c:f>
              <c:strCache>
                <c:ptCount val="3"/>
                <c:pt idx="0">
                  <c:v>Centro area metropolitana</c:v>
                </c:pt>
                <c:pt idx="1">
                  <c:v>Periferia area metropolitana e comuni con 50.001 ab. e più</c:v>
                </c:pt>
                <c:pt idx="2">
                  <c:v>Altri comuni fino a 50.000 ab. (diversi dai comuni periferia area metropolitana)</c:v>
                </c:pt>
              </c:strCache>
            </c:strRef>
          </c:cat>
          <c:val>
            <c:numRef>
              <c:f>'DATI FIGURA SINISTRA'!$B$3:$B$5</c:f>
              <c:numCache>
                <c:formatCode>0.0</c:formatCode>
                <c:ptCount val="3"/>
                <c:pt idx="0">
                  <c:v>27.78</c:v>
                </c:pt>
                <c:pt idx="1">
                  <c:v>20.65</c:v>
                </c:pt>
                <c:pt idx="2">
                  <c:v>13.9</c:v>
                </c:pt>
              </c:numCache>
            </c:numRef>
          </c:val>
          <c:extLst>
            <c:ext xmlns:c16="http://schemas.microsoft.com/office/drawing/2014/chart" uri="{C3380CC4-5D6E-409C-BE32-E72D297353CC}">
              <c16:uniqueId val="{00000003-3367-4C11-90A8-9E06EADF86FA}"/>
            </c:ext>
          </c:extLst>
        </c:ser>
        <c:dLbls>
          <c:showLegendKey val="0"/>
          <c:showVal val="0"/>
          <c:showCatName val="0"/>
          <c:showSerName val="0"/>
          <c:showPercent val="0"/>
          <c:showBubbleSize val="0"/>
        </c:dLbls>
        <c:gapWidth val="49"/>
        <c:axId val="185112448"/>
        <c:axId val="185113984"/>
      </c:barChart>
      <c:lineChart>
        <c:grouping val="standard"/>
        <c:varyColors val="0"/>
        <c:ser>
          <c:idx val="1"/>
          <c:order val="1"/>
          <c:tx>
            <c:strRef>
              <c:f>'DATI FIGURA SINISTRA'!$C$2</c:f>
              <c:strCache>
                <c:ptCount val="1"/>
                <c:pt idx="0">
                  <c:v>Spesa media mensile per affitto (euro)</c:v>
                </c:pt>
              </c:strCache>
            </c:strRef>
          </c:tx>
          <c:spPr>
            <a:ln>
              <a:noFill/>
            </a:ln>
          </c:spPr>
          <c:marker>
            <c:symbol val="square"/>
            <c:size val="5"/>
            <c:spPr>
              <a:solidFill>
                <a:schemeClr val="tx1"/>
              </a:solidFill>
              <a:ln>
                <a:noFill/>
              </a:ln>
            </c:spPr>
          </c:marker>
          <c:dLbls>
            <c:dLbl>
              <c:idx val="4"/>
              <c:spPr>
                <a:solidFill>
                  <a:schemeClr val="bg1"/>
                </a:solidFill>
              </c:spPr>
              <c:txPr>
                <a:bodyPr/>
                <a:lstStyle/>
                <a:p>
                  <a:pPr>
                    <a:defRPr sz="800" b="1">
                      <a:solidFill>
                        <a:schemeClr val="bg1"/>
                      </a:solidFill>
                    </a:defRPr>
                  </a:pPr>
                  <a:endParaRPr lang="it-IT"/>
                </a:p>
              </c:txPr>
              <c:dLblPos val="b"/>
              <c:showLegendKey val="0"/>
              <c:showVal val="1"/>
              <c:showCatName val="0"/>
              <c:showSerName val="0"/>
              <c:showPercent val="0"/>
              <c:showBubbleSize val="0"/>
              <c:extLst>
                <c:ext xmlns:c16="http://schemas.microsoft.com/office/drawing/2014/chart" uri="{C3380CC4-5D6E-409C-BE32-E72D297353CC}">
                  <c16:uniqueId val="{00000003-266E-4CF2-9824-1F28A4CF62E2}"/>
                </c:ext>
              </c:extLst>
            </c:dLbl>
            <c:dLbl>
              <c:idx val="8"/>
              <c:spPr>
                <a:solidFill>
                  <a:schemeClr val="bg1"/>
                </a:solidFill>
              </c:spPr>
              <c:txPr>
                <a:bodyPr/>
                <a:lstStyle/>
                <a:p>
                  <a:pPr>
                    <a:defRPr sz="800" b="1">
                      <a:solidFill>
                        <a:schemeClr val="bg1"/>
                      </a:solidFill>
                    </a:defRPr>
                  </a:pPr>
                  <a:endParaRPr lang="it-IT"/>
                </a:p>
              </c:txPr>
              <c:dLblPos val="b"/>
              <c:showLegendKey val="0"/>
              <c:showVal val="1"/>
              <c:showCatName val="0"/>
              <c:showSerName val="0"/>
              <c:showPercent val="0"/>
              <c:showBubbleSize val="0"/>
              <c:extLst>
                <c:ext xmlns:c16="http://schemas.microsoft.com/office/drawing/2014/chart" uri="{C3380CC4-5D6E-409C-BE32-E72D297353CC}">
                  <c16:uniqueId val="{00000004-266E-4CF2-9824-1F28A4CF62E2}"/>
                </c:ext>
              </c:extLst>
            </c:dLbl>
            <c:spPr>
              <a:noFill/>
              <a:ln>
                <a:noFill/>
              </a:ln>
              <a:effectLst/>
            </c:spPr>
            <c:txPr>
              <a:bodyPr/>
              <a:lstStyle/>
              <a:p>
                <a:pPr>
                  <a:defRPr sz="800" b="1">
                    <a:solidFill>
                      <a:schemeClr val="bg1"/>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 FIGURA SINISTRA'!$A$3:$A$5</c:f>
              <c:strCache>
                <c:ptCount val="3"/>
                <c:pt idx="0">
                  <c:v>Centro area metropolitana</c:v>
                </c:pt>
                <c:pt idx="1">
                  <c:v>Periferia area metropolitana e comuni con 50.001 ab. e più</c:v>
                </c:pt>
                <c:pt idx="2">
                  <c:v>Altri comuni fino a 50.000 ab. (diversi dai comuni periferia area metropolitana)</c:v>
                </c:pt>
              </c:strCache>
            </c:strRef>
          </c:cat>
          <c:val>
            <c:numRef>
              <c:f>'DATI FIGURA SINISTRA'!$C$3:$C$5</c:f>
              <c:numCache>
                <c:formatCode>0.00</c:formatCode>
                <c:ptCount val="3"/>
                <c:pt idx="0">
                  <c:v>495.5</c:v>
                </c:pt>
                <c:pt idx="1">
                  <c:v>403.31</c:v>
                </c:pt>
                <c:pt idx="2">
                  <c:v>372.32</c:v>
                </c:pt>
              </c:numCache>
            </c:numRef>
          </c:val>
          <c:smooth val="0"/>
          <c:extLst>
            <c:ext xmlns:c16="http://schemas.microsoft.com/office/drawing/2014/chart" uri="{C3380CC4-5D6E-409C-BE32-E72D297353CC}">
              <c16:uniqueId val="{00000006-3367-4C11-90A8-9E06EADF86FA}"/>
            </c:ext>
          </c:extLst>
        </c:ser>
        <c:dLbls>
          <c:showLegendKey val="0"/>
          <c:showVal val="0"/>
          <c:showCatName val="0"/>
          <c:showSerName val="0"/>
          <c:showPercent val="0"/>
          <c:showBubbleSize val="0"/>
        </c:dLbls>
        <c:marker val="1"/>
        <c:smooth val="0"/>
        <c:axId val="185125504"/>
        <c:axId val="185123968"/>
      </c:lineChart>
      <c:catAx>
        <c:axId val="185112448"/>
        <c:scaling>
          <c:orientation val="minMax"/>
        </c:scaling>
        <c:delete val="0"/>
        <c:axPos val="b"/>
        <c:majorGridlines>
          <c:spPr>
            <a:ln>
              <a:solidFill>
                <a:schemeClr val="bg1"/>
              </a:solidFill>
            </a:ln>
          </c:spPr>
        </c:majorGridlines>
        <c:numFmt formatCode="General" sourceLinked="0"/>
        <c:majorTickMark val="none"/>
        <c:minorTickMark val="none"/>
        <c:tickLblPos val="nextTo"/>
        <c:spPr>
          <a:ln>
            <a:solidFill>
              <a:schemeClr val="bg1"/>
            </a:solidFill>
          </a:ln>
        </c:spPr>
        <c:txPr>
          <a:bodyPr rot="0" vert="horz"/>
          <a:lstStyle/>
          <a:p>
            <a:pPr>
              <a:defRPr sz="750" b="1"/>
            </a:pPr>
            <a:endParaRPr lang="it-IT"/>
          </a:p>
        </c:txPr>
        <c:crossAx val="185113984"/>
        <c:crosses val="autoZero"/>
        <c:auto val="1"/>
        <c:lblAlgn val="ctr"/>
        <c:lblOffset val="100"/>
        <c:noMultiLvlLbl val="0"/>
      </c:catAx>
      <c:valAx>
        <c:axId val="185113984"/>
        <c:scaling>
          <c:orientation val="minMax"/>
          <c:max val="30"/>
          <c:min val="0"/>
        </c:scaling>
        <c:delete val="0"/>
        <c:axPos val="l"/>
        <c:majorGridlines>
          <c:spPr>
            <a:ln>
              <a:solidFill>
                <a:schemeClr val="bg1"/>
              </a:solidFill>
            </a:ln>
          </c:spPr>
        </c:majorGridlines>
        <c:numFmt formatCode="0" sourceLinked="0"/>
        <c:majorTickMark val="out"/>
        <c:minorTickMark val="none"/>
        <c:tickLblPos val="none"/>
        <c:spPr>
          <a:ln>
            <a:noFill/>
          </a:ln>
        </c:spPr>
        <c:crossAx val="185112448"/>
        <c:crosses val="autoZero"/>
        <c:crossBetween val="between"/>
      </c:valAx>
      <c:valAx>
        <c:axId val="185123968"/>
        <c:scaling>
          <c:orientation val="minMax"/>
          <c:max val="500"/>
          <c:min val="300"/>
        </c:scaling>
        <c:delete val="0"/>
        <c:axPos val="r"/>
        <c:numFmt formatCode="0.00" sourceLinked="1"/>
        <c:majorTickMark val="none"/>
        <c:minorTickMark val="none"/>
        <c:tickLblPos val="none"/>
        <c:spPr>
          <a:ln>
            <a:noFill/>
          </a:ln>
        </c:spPr>
        <c:crossAx val="185125504"/>
        <c:crosses val="max"/>
        <c:crossBetween val="between"/>
        <c:majorUnit val="50"/>
      </c:valAx>
      <c:catAx>
        <c:axId val="185125504"/>
        <c:scaling>
          <c:orientation val="minMax"/>
        </c:scaling>
        <c:delete val="1"/>
        <c:axPos val="b"/>
        <c:numFmt formatCode="General" sourceLinked="1"/>
        <c:majorTickMark val="out"/>
        <c:minorTickMark val="none"/>
        <c:tickLblPos val="nextTo"/>
        <c:crossAx val="185123968"/>
        <c:crossesAt val="500"/>
        <c:auto val="1"/>
        <c:lblAlgn val="ctr"/>
        <c:lblOffset val="100"/>
        <c:noMultiLvlLbl val="0"/>
      </c:catAx>
      <c:spPr>
        <a:noFill/>
      </c:spPr>
    </c:plotArea>
    <c:legend>
      <c:legendPos val="t"/>
      <c:layout>
        <c:manualLayout>
          <c:xMode val="edge"/>
          <c:yMode val="edge"/>
          <c:x val="6.4444444444444445E-4"/>
          <c:y val="1.4112499999999998E-2"/>
          <c:w val="0.98047973856209147"/>
          <c:h val="0.13101481481481481"/>
        </c:manualLayout>
      </c:layout>
      <c:overlay val="0"/>
      <c:txPr>
        <a:bodyPr/>
        <a:lstStyle/>
        <a:p>
          <a:pPr>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027450980392159E-2"/>
          <c:y val="0.25033126169339281"/>
          <c:w val="0.96109444444444447"/>
          <c:h val="0.4562634216177523"/>
        </c:manualLayout>
      </c:layout>
      <c:barChart>
        <c:barDir val="col"/>
        <c:grouping val="clustered"/>
        <c:varyColors val="0"/>
        <c:ser>
          <c:idx val="0"/>
          <c:order val="0"/>
          <c:tx>
            <c:strRef>
              <c:f>'DATI FIGURA DESTRA'!$B$4</c:f>
              <c:strCache>
                <c:ptCount val="1"/>
                <c:pt idx="0">
                  <c:v>Quota di famiglie che pagano il mutuo (% su famiglie proprietarie)</c:v>
                </c:pt>
              </c:strCache>
            </c:strRef>
          </c:tx>
          <c:spPr>
            <a:solidFill>
              <a:srgbClr val="9BBB59"/>
            </a:solidFill>
          </c:spPr>
          <c:invertIfNegative val="0"/>
          <c:dLbls>
            <c:dLbl>
              <c:idx val="0"/>
              <c:layout>
                <c:manualLayout>
                  <c:x val="4.1511000415109817E-3"/>
                  <c:y val="-8.4961767204757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34-4019-9C91-AAC121EA87C8}"/>
                </c:ext>
              </c:extLst>
            </c:dLbl>
            <c:numFmt formatCode="#,##0.0" sourceLinked="0"/>
            <c:spPr>
              <a:noFill/>
              <a:ln>
                <a:noFill/>
              </a:ln>
              <a:effectLst/>
            </c:spPr>
            <c:txPr>
              <a:bodyPr wrap="square" lIns="38100" tIns="19050" rIns="38100" bIns="19050" anchor="ctr">
                <a:spAutoFit/>
              </a:bodyPr>
              <a:lstStyle/>
              <a:p>
                <a:pPr>
                  <a:defRPr sz="8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 FIGURA DESTRA'!$A$5:$A$7</c:f>
              <c:strCache>
                <c:ptCount val="3"/>
                <c:pt idx="0">
                  <c:v>Centro area metropolitana</c:v>
                </c:pt>
                <c:pt idx="1">
                  <c:v>Periferia area metropolitana e comuni con 50.001 ab. e più</c:v>
                </c:pt>
                <c:pt idx="2">
                  <c:v>Altri comuni fino a 50.000 ab. (diversi dai comuni periferia area metropolitana)</c:v>
                </c:pt>
              </c:strCache>
            </c:strRef>
          </c:cat>
          <c:val>
            <c:numRef>
              <c:f>'DATI FIGURA DESTRA'!$B$5:$B$7</c:f>
              <c:numCache>
                <c:formatCode>0.0</c:formatCode>
                <c:ptCount val="3"/>
                <c:pt idx="0">
                  <c:v>22.6</c:v>
                </c:pt>
                <c:pt idx="1">
                  <c:v>22.13</c:v>
                </c:pt>
                <c:pt idx="2">
                  <c:v>17.18</c:v>
                </c:pt>
              </c:numCache>
            </c:numRef>
          </c:val>
          <c:extLst>
            <c:ext xmlns:c16="http://schemas.microsoft.com/office/drawing/2014/chart" uri="{C3380CC4-5D6E-409C-BE32-E72D297353CC}">
              <c16:uniqueId val="{00000000-31D5-42CB-B6C2-A7A8CFA912AB}"/>
            </c:ext>
          </c:extLst>
        </c:ser>
        <c:dLbls>
          <c:showLegendKey val="0"/>
          <c:showVal val="0"/>
          <c:showCatName val="0"/>
          <c:showSerName val="0"/>
          <c:showPercent val="0"/>
          <c:showBubbleSize val="0"/>
        </c:dLbls>
        <c:gapWidth val="49"/>
        <c:axId val="201837952"/>
        <c:axId val="201847936"/>
      </c:barChart>
      <c:lineChart>
        <c:grouping val="standard"/>
        <c:varyColors val="0"/>
        <c:ser>
          <c:idx val="1"/>
          <c:order val="1"/>
          <c:tx>
            <c:strRef>
              <c:f>'DATI FIGURA DESTRA'!$C$4</c:f>
              <c:strCache>
                <c:ptCount val="1"/>
                <c:pt idx="0">
                  <c:v>Rata media mensile mutuo (euro)</c:v>
                </c:pt>
              </c:strCache>
            </c:strRef>
          </c:tx>
          <c:spPr>
            <a:ln>
              <a:noFill/>
            </a:ln>
          </c:spPr>
          <c:marker>
            <c:symbol val="square"/>
            <c:size val="5"/>
            <c:spPr>
              <a:solidFill>
                <a:schemeClr val="tx1"/>
              </a:solidFill>
              <a:ln>
                <a:noFill/>
              </a:ln>
            </c:spPr>
          </c:marker>
          <c:dLbls>
            <c:dLbl>
              <c:idx val="0"/>
              <c:layout>
                <c:manualLayout>
                  <c:x val="-7.6951262163213421E-2"/>
                  <c:y val="7.1311243273860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34-4019-9C91-AAC121EA87C8}"/>
                </c:ext>
              </c:extLst>
            </c:dLbl>
            <c:dLbl>
              <c:idx val="4"/>
              <c:spPr>
                <a:solidFill>
                  <a:schemeClr val="bg1"/>
                </a:solidFill>
              </c:spPr>
              <c:txPr>
                <a:bodyPr/>
                <a:lstStyle/>
                <a:p>
                  <a:pPr>
                    <a:defRPr sz="800" b="1">
                      <a:solidFill>
                        <a:schemeClr val="bg1"/>
                      </a:solidFill>
                    </a:defRPr>
                  </a:pPr>
                  <a:endParaRPr lang="it-IT"/>
                </a:p>
              </c:txPr>
              <c:dLblPos val="b"/>
              <c:showLegendKey val="0"/>
              <c:showVal val="1"/>
              <c:showCatName val="0"/>
              <c:showSerName val="0"/>
              <c:showPercent val="0"/>
              <c:showBubbleSize val="0"/>
              <c:extLst>
                <c:ext xmlns:c16="http://schemas.microsoft.com/office/drawing/2014/chart" uri="{C3380CC4-5D6E-409C-BE32-E72D297353CC}">
                  <c16:uniqueId val="{00000000-BF50-4EBE-9848-A2DAD260D84D}"/>
                </c:ext>
              </c:extLst>
            </c:dLbl>
            <c:dLbl>
              <c:idx val="8"/>
              <c:spPr>
                <a:solidFill>
                  <a:schemeClr val="bg1"/>
                </a:solidFill>
              </c:spPr>
              <c:txPr>
                <a:bodyPr/>
                <a:lstStyle/>
                <a:p>
                  <a:pPr>
                    <a:defRPr sz="800" b="1">
                      <a:solidFill>
                        <a:schemeClr val="bg1"/>
                      </a:solidFill>
                    </a:defRPr>
                  </a:pPr>
                  <a:endParaRPr lang="it-IT"/>
                </a:p>
              </c:txPr>
              <c:dLblPos val="b"/>
              <c:showLegendKey val="0"/>
              <c:showVal val="1"/>
              <c:showCatName val="0"/>
              <c:showSerName val="0"/>
              <c:showPercent val="0"/>
              <c:showBubbleSize val="0"/>
              <c:extLst>
                <c:ext xmlns:c16="http://schemas.microsoft.com/office/drawing/2014/chart" uri="{C3380CC4-5D6E-409C-BE32-E72D297353CC}">
                  <c16:uniqueId val="{00000001-BF50-4EBE-9848-A2DAD260D84D}"/>
                </c:ext>
              </c:extLst>
            </c:dLbl>
            <c:spPr>
              <a:noFill/>
              <a:ln>
                <a:noFill/>
              </a:ln>
              <a:effectLst/>
            </c:spPr>
            <c:txPr>
              <a:bodyPr/>
              <a:lstStyle/>
              <a:p>
                <a:pPr>
                  <a:defRPr sz="800" b="1">
                    <a:solidFill>
                      <a:schemeClr val="bg1"/>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 FIGURA DESTRA'!$A$5:$A$7</c:f>
              <c:strCache>
                <c:ptCount val="3"/>
                <c:pt idx="0">
                  <c:v>Centro area metropolitana</c:v>
                </c:pt>
                <c:pt idx="1">
                  <c:v>Periferia area metropolitana e comuni con 50.001 ab. e più</c:v>
                </c:pt>
                <c:pt idx="2">
                  <c:v>Altri comuni fino a 50.000 ab. (diversi dai comuni periferia area metropolitana)</c:v>
                </c:pt>
              </c:strCache>
            </c:strRef>
          </c:cat>
          <c:val>
            <c:numRef>
              <c:f>'DATI FIGURA DESTRA'!$C$5:$C$7</c:f>
              <c:numCache>
                <c:formatCode>0.00</c:formatCode>
                <c:ptCount val="3"/>
                <c:pt idx="0">
                  <c:v>603.58000000000004</c:v>
                </c:pt>
                <c:pt idx="1">
                  <c:v>533.15</c:v>
                </c:pt>
                <c:pt idx="2">
                  <c:v>531.49</c:v>
                </c:pt>
              </c:numCache>
            </c:numRef>
          </c:val>
          <c:smooth val="0"/>
          <c:extLst>
            <c:ext xmlns:c16="http://schemas.microsoft.com/office/drawing/2014/chart" uri="{C3380CC4-5D6E-409C-BE32-E72D297353CC}">
              <c16:uniqueId val="{00000003-31D5-42CB-B6C2-A7A8CFA912AB}"/>
            </c:ext>
          </c:extLst>
        </c:ser>
        <c:dLbls>
          <c:showLegendKey val="0"/>
          <c:showVal val="0"/>
          <c:showCatName val="0"/>
          <c:showSerName val="0"/>
          <c:showPercent val="0"/>
          <c:showBubbleSize val="0"/>
        </c:dLbls>
        <c:marker val="1"/>
        <c:smooth val="0"/>
        <c:axId val="201916800"/>
        <c:axId val="201849472"/>
      </c:lineChart>
      <c:catAx>
        <c:axId val="201837952"/>
        <c:scaling>
          <c:orientation val="minMax"/>
        </c:scaling>
        <c:delete val="0"/>
        <c:axPos val="b"/>
        <c:majorGridlines>
          <c:spPr>
            <a:ln>
              <a:solidFill>
                <a:schemeClr val="bg1"/>
              </a:solidFill>
            </a:ln>
          </c:spPr>
        </c:majorGridlines>
        <c:numFmt formatCode="General" sourceLinked="0"/>
        <c:majorTickMark val="none"/>
        <c:minorTickMark val="none"/>
        <c:tickLblPos val="nextTo"/>
        <c:spPr>
          <a:ln>
            <a:solidFill>
              <a:schemeClr val="bg1"/>
            </a:solidFill>
          </a:ln>
        </c:spPr>
        <c:txPr>
          <a:bodyPr rot="0" vert="horz"/>
          <a:lstStyle/>
          <a:p>
            <a:pPr>
              <a:defRPr sz="750" b="1"/>
            </a:pPr>
            <a:endParaRPr lang="it-IT"/>
          </a:p>
        </c:txPr>
        <c:crossAx val="201847936"/>
        <c:crosses val="autoZero"/>
        <c:auto val="1"/>
        <c:lblAlgn val="ctr"/>
        <c:lblOffset val="100"/>
        <c:noMultiLvlLbl val="0"/>
      </c:catAx>
      <c:valAx>
        <c:axId val="201847936"/>
        <c:scaling>
          <c:orientation val="minMax"/>
          <c:max val="30"/>
          <c:min val="0"/>
        </c:scaling>
        <c:delete val="0"/>
        <c:axPos val="l"/>
        <c:majorGridlines>
          <c:spPr>
            <a:ln>
              <a:solidFill>
                <a:schemeClr val="bg1"/>
              </a:solidFill>
            </a:ln>
          </c:spPr>
        </c:majorGridlines>
        <c:numFmt formatCode="0" sourceLinked="0"/>
        <c:majorTickMark val="out"/>
        <c:minorTickMark val="none"/>
        <c:tickLblPos val="none"/>
        <c:spPr>
          <a:ln>
            <a:noFill/>
          </a:ln>
        </c:spPr>
        <c:crossAx val="201837952"/>
        <c:crosses val="autoZero"/>
        <c:crossBetween val="between"/>
      </c:valAx>
      <c:valAx>
        <c:axId val="201849472"/>
        <c:scaling>
          <c:orientation val="minMax"/>
          <c:max val="620"/>
          <c:min val="500"/>
        </c:scaling>
        <c:delete val="0"/>
        <c:axPos val="r"/>
        <c:numFmt formatCode="0.00" sourceLinked="1"/>
        <c:majorTickMark val="out"/>
        <c:minorTickMark val="none"/>
        <c:tickLblPos val="none"/>
        <c:spPr>
          <a:ln>
            <a:noFill/>
          </a:ln>
        </c:spPr>
        <c:crossAx val="201916800"/>
        <c:crosses val="max"/>
        <c:crossBetween val="between"/>
        <c:majorUnit val="50"/>
      </c:valAx>
      <c:catAx>
        <c:axId val="201916800"/>
        <c:scaling>
          <c:orientation val="minMax"/>
        </c:scaling>
        <c:delete val="1"/>
        <c:axPos val="b"/>
        <c:numFmt formatCode="General" sourceLinked="1"/>
        <c:majorTickMark val="out"/>
        <c:minorTickMark val="none"/>
        <c:tickLblPos val="nextTo"/>
        <c:crossAx val="201849472"/>
        <c:crossesAt val="500"/>
        <c:auto val="1"/>
        <c:lblAlgn val="ctr"/>
        <c:lblOffset val="100"/>
        <c:noMultiLvlLbl val="0"/>
      </c:catAx>
      <c:spPr>
        <a:noFill/>
      </c:spPr>
    </c:plotArea>
    <c:legend>
      <c:legendPos val="t"/>
      <c:layout>
        <c:manualLayout>
          <c:xMode val="edge"/>
          <c:yMode val="edge"/>
          <c:x val="7.25627450980392E-2"/>
          <c:y val="1.3677784110085234E-2"/>
          <c:w val="0.91200379235278006"/>
          <c:h val="0.13845225933294214"/>
        </c:manualLayout>
      </c:layout>
      <c:overlay val="0"/>
      <c:txPr>
        <a:bodyPr/>
        <a:lstStyle/>
        <a:p>
          <a:pPr>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it-IT" sz="900"/>
              <a:t>2017</a:t>
            </a:r>
          </a:p>
        </c:rich>
      </c:tx>
      <c:overlay val="0"/>
    </c:title>
    <c:autoTitleDeleted val="0"/>
    <c:plotArea>
      <c:layout>
        <c:manualLayout>
          <c:layoutTarget val="inner"/>
          <c:xMode val="edge"/>
          <c:yMode val="edge"/>
          <c:x val="0.21583125392520869"/>
          <c:y val="0.19579512456174272"/>
          <c:w val="0.48360736603759058"/>
          <c:h val="0.60154010357148624"/>
        </c:manualLayout>
      </c:layout>
      <c:pieChart>
        <c:varyColors val="1"/>
        <c:ser>
          <c:idx val="0"/>
          <c:order val="0"/>
          <c:tx>
            <c:strRef>
              <c:f>'FIGURA 9'!$B$2</c:f>
              <c:strCache>
                <c:ptCount val="1"/>
                <c:pt idx="0">
                  <c:v>%</c:v>
                </c:pt>
              </c:strCache>
            </c:strRef>
          </c:tx>
          <c:spPr>
            <a:ln>
              <a:noFill/>
            </a:ln>
          </c:spPr>
          <c:dPt>
            <c:idx val="0"/>
            <c:bubble3D val="0"/>
            <c:spPr>
              <a:solidFill>
                <a:srgbClr val="E42618"/>
              </a:solidFill>
              <a:ln>
                <a:noFill/>
              </a:ln>
            </c:spPr>
            <c:extLst>
              <c:ext xmlns:c16="http://schemas.microsoft.com/office/drawing/2014/chart" uri="{C3380CC4-5D6E-409C-BE32-E72D297353CC}">
                <c16:uniqueId val="{00000001-C51A-4866-B648-2F802337CA50}"/>
              </c:ext>
            </c:extLst>
          </c:dPt>
          <c:dPt>
            <c:idx val="1"/>
            <c:bubble3D val="0"/>
            <c:spPr>
              <a:solidFill>
                <a:srgbClr val="006482"/>
              </a:solidFill>
              <a:ln>
                <a:noFill/>
              </a:ln>
            </c:spPr>
            <c:extLst>
              <c:ext xmlns:c16="http://schemas.microsoft.com/office/drawing/2014/chart" uri="{C3380CC4-5D6E-409C-BE32-E72D297353CC}">
                <c16:uniqueId val="{00000003-C51A-4866-B648-2F802337CA50}"/>
              </c:ext>
            </c:extLst>
          </c:dPt>
          <c:dPt>
            <c:idx val="2"/>
            <c:bubble3D val="0"/>
            <c:spPr>
              <a:solidFill>
                <a:srgbClr val="9BBB59"/>
              </a:solidFill>
              <a:ln>
                <a:noFill/>
              </a:ln>
            </c:spPr>
            <c:extLst>
              <c:ext xmlns:c16="http://schemas.microsoft.com/office/drawing/2014/chart" uri="{C3380CC4-5D6E-409C-BE32-E72D297353CC}">
                <c16:uniqueId val="{00000005-C51A-4866-B648-2F802337CA50}"/>
              </c:ext>
            </c:extLst>
          </c:dPt>
          <c:dPt>
            <c:idx val="3"/>
            <c:bubble3D val="0"/>
            <c:spPr>
              <a:solidFill>
                <a:srgbClr val="888888"/>
              </a:solidFill>
              <a:ln>
                <a:noFill/>
              </a:ln>
            </c:spPr>
            <c:extLst>
              <c:ext xmlns:c16="http://schemas.microsoft.com/office/drawing/2014/chart" uri="{C3380CC4-5D6E-409C-BE32-E72D297353CC}">
                <c16:uniqueId val="{00000007-C51A-4866-B648-2F802337CA50}"/>
              </c:ext>
            </c:extLst>
          </c:dPt>
          <c:dPt>
            <c:idx val="4"/>
            <c:bubble3D val="0"/>
            <c:spPr>
              <a:solidFill>
                <a:srgbClr val="1F497D"/>
              </a:solidFill>
              <a:ln>
                <a:noFill/>
              </a:ln>
            </c:spPr>
            <c:extLst>
              <c:ext xmlns:c16="http://schemas.microsoft.com/office/drawing/2014/chart" uri="{C3380CC4-5D6E-409C-BE32-E72D297353CC}">
                <c16:uniqueId val="{00000009-C51A-4866-B648-2F802337CA50}"/>
              </c:ext>
            </c:extLst>
          </c:dPt>
          <c:dLbls>
            <c:dLbl>
              <c:idx val="0"/>
              <c:layout>
                <c:manualLayout>
                  <c:x val="0.13082326042709891"/>
                  <c:y val="1.7333350075256766E-3"/>
                </c:manualLayout>
              </c:layout>
              <c:tx>
                <c:rich>
                  <a:bodyPr/>
                  <a:lstStyle/>
                  <a:p>
                    <a:fld id="{676827C3-D3F1-4545-9D8B-5E268FD48F0F}" type="CATEGORYNAME">
                      <a:rPr lang="en-US"/>
                      <a:pPr/>
                      <a:t>[NOME CATEGORIA]</a:t>
                    </a:fld>
                    <a:r>
                      <a:rPr lang="en-US" baseline="0"/>
                      <a:t>
7,6%</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51A-4866-B648-2F802337CA50}"/>
                </c:ext>
              </c:extLst>
            </c:dLbl>
            <c:dLbl>
              <c:idx val="1"/>
              <c:layout>
                <c:manualLayout>
                  <c:x val="0.13129122221072564"/>
                  <c:y val="0.13058315978634419"/>
                </c:manualLayout>
              </c:layout>
              <c:tx>
                <c:rich>
                  <a:bodyPr/>
                  <a:lstStyle/>
                  <a:p>
                    <a:fld id="{3BD0302C-CBFC-4D24-A3AC-35087DDC8A1A}" type="CATEGORYNAME">
                      <a:rPr lang="en-US"/>
                      <a:pPr/>
                      <a:t>[NOME CATEGORIA]</a:t>
                    </a:fld>
                    <a:r>
                      <a:rPr lang="en-US" baseline="0"/>
                      <a:t>
12,5%</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51A-4866-B648-2F802337CA50}"/>
                </c:ext>
              </c:extLst>
            </c:dLbl>
            <c:dLbl>
              <c:idx val="2"/>
              <c:layout>
                <c:manualLayout>
                  <c:x val="5.2882525300495097E-3"/>
                  <c:y val="0.1555306489114929"/>
                </c:manualLayout>
              </c:layout>
              <c:tx>
                <c:rich>
                  <a:bodyPr/>
                  <a:lstStyle/>
                  <a:p>
                    <a:fld id="{516CA8CB-182E-4B10-A0F0-C0FD96D4CCAB}" type="CATEGORYNAME">
                      <a:rPr lang="en-US"/>
                      <a:pPr/>
                      <a:t>[NOME CATEGORIA]</a:t>
                    </a:fld>
                    <a:r>
                      <a:rPr lang="en-US" baseline="0"/>
                      <a:t>
16,9%</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C51A-4866-B648-2F802337CA50}"/>
                </c:ext>
              </c:extLst>
            </c:dLbl>
            <c:dLbl>
              <c:idx val="3"/>
              <c:layout>
                <c:manualLayout>
                  <c:x val="-0.1361895525554439"/>
                  <c:y val="6.4107127137237694E-4"/>
                </c:manualLayout>
              </c:layout>
              <c:tx>
                <c:rich>
                  <a:bodyPr/>
                  <a:lstStyle/>
                  <a:p>
                    <a:fld id="{BA4E2D38-7F62-4E86-BFF2-D7D8497DB3AE}" type="CATEGORYNAME">
                      <a:rPr lang="en-US"/>
                      <a:pPr/>
                      <a:t>[NOME CATEGORIA]</a:t>
                    </a:fld>
                    <a:r>
                      <a:rPr lang="en-US" baseline="0"/>
                      <a:t>
23,0%</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C51A-4866-B648-2F802337CA50}"/>
                </c:ext>
              </c:extLst>
            </c:dLbl>
            <c:dLbl>
              <c:idx val="4"/>
              <c:layout>
                <c:manualLayout>
                  <c:x val="-1.0256916187620757E-2"/>
                  <c:y val="-3.1768826431261325E-2"/>
                </c:manualLayout>
              </c:layout>
              <c:tx>
                <c:rich>
                  <a:bodyPr/>
                  <a:lstStyle/>
                  <a:p>
                    <a:fld id="{107879FB-5053-4493-A8DF-87014A736778}" type="CATEGORYNAME">
                      <a:rPr lang="en-US"/>
                      <a:pPr/>
                      <a:t>[NOME CATEGORIA]</a:t>
                    </a:fld>
                    <a:r>
                      <a:rPr lang="en-US" baseline="0"/>
                      <a:t>
39,9%</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C51A-4866-B648-2F802337CA50}"/>
                </c:ext>
              </c:extLst>
            </c:dLbl>
            <c:numFmt formatCode="#,##0.0" sourceLinked="0"/>
            <c:spPr>
              <a:noFill/>
              <a:ln>
                <a:noFill/>
              </a:ln>
              <a:effectLst/>
            </c:spPr>
            <c:txPr>
              <a:bodyPr/>
              <a:lstStyle/>
              <a:p>
                <a:pPr>
                  <a:defRPr sz="800" b="0">
                    <a:solidFill>
                      <a:sysClr val="windowText" lastClr="000000"/>
                    </a:solidFill>
                  </a:defRPr>
                </a:pPr>
                <a:endParaRPr lang="it-IT"/>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'FIGURA 9'!$A$4:$A$8</c:f>
              <c:strCache>
                <c:ptCount val="5"/>
                <c:pt idx="0">
                  <c:v>Primo quinto</c:v>
                </c:pt>
                <c:pt idx="1">
                  <c:v>Secondo quinto</c:v>
                </c:pt>
                <c:pt idx="2">
                  <c:v>Terzo quinto</c:v>
                </c:pt>
                <c:pt idx="3">
                  <c:v>Quarto quinto</c:v>
                </c:pt>
                <c:pt idx="4">
                  <c:v>Quinto quinto</c:v>
                </c:pt>
              </c:strCache>
            </c:strRef>
          </c:cat>
          <c:val>
            <c:numRef>
              <c:f>'FIGURA 9'!$C$4:$C$8</c:f>
              <c:numCache>
                <c:formatCode>0.0</c:formatCode>
                <c:ptCount val="5"/>
                <c:pt idx="0">
                  <c:v>7.6330870689758505</c:v>
                </c:pt>
                <c:pt idx="1">
                  <c:v>12.518066072343151</c:v>
                </c:pt>
                <c:pt idx="2">
                  <c:v>16.941125513008263</c:v>
                </c:pt>
                <c:pt idx="3">
                  <c:v>22.994944287117377</c:v>
                </c:pt>
                <c:pt idx="4">
                  <c:v>39.912777058555363</c:v>
                </c:pt>
              </c:numCache>
            </c:numRef>
          </c:val>
          <c:extLst>
            <c:ext xmlns:c16="http://schemas.microsoft.com/office/drawing/2014/chart" uri="{C3380CC4-5D6E-409C-BE32-E72D297353CC}">
              <c16:uniqueId val="{0000000A-C51A-4866-B648-2F802337CA5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460BB-3A7A-40B9-9E6A-2EE5D0E4F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7618</Words>
  <Characters>43425</Characters>
  <Application>Microsoft Office Word</Application>
  <DocSecurity>0</DocSecurity>
  <Lines>361</Lines>
  <Paragraphs>101</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50942</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enzalucia vaccaro</cp:lastModifiedBy>
  <cp:revision>3</cp:revision>
  <cp:lastPrinted>2019-05-29T11:17:00Z</cp:lastPrinted>
  <dcterms:created xsi:type="dcterms:W3CDTF">2021-06-09T07:14:00Z</dcterms:created>
  <dcterms:modified xsi:type="dcterms:W3CDTF">2021-06-09T07:16:00Z</dcterms:modified>
</cp:coreProperties>
</file>