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6D9BA" w14:textId="77777777" w:rsidR="00220326" w:rsidRDefault="00220326" w:rsidP="00220326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 xml:space="preserve">Short </w:t>
      </w:r>
      <w:r w:rsidRPr="00220326">
        <w:rPr>
          <w:b/>
          <w:bCs/>
          <w:sz w:val="36"/>
          <w:szCs w:val="36"/>
        </w:rPr>
        <w:t xml:space="preserve">Report  </w:t>
      </w:r>
    </w:p>
    <w:p w14:paraId="29130989" w14:textId="480C737A" w:rsidR="00220326" w:rsidRPr="00220326" w:rsidRDefault="00220326" w:rsidP="00220326">
      <w:pPr>
        <w:jc w:val="center"/>
        <w:rPr>
          <w:b/>
          <w:bCs/>
          <w:sz w:val="36"/>
          <w:szCs w:val="36"/>
        </w:rPr>
      </w:pPr>
      <w:proofErr w:type="spellStart"/>
      <w:r w:rsidRPr="00220326">
        <w:rPr>
          <w:b/>
          <w:bCs/>
          <w:sz w:val="36"/>
          <w:szCs w:val="36"/>
        </w:rPr>
        <w:t>Assoutenti</w:t>
      </w:r>
      <w:proofErr w:type="spellEnd"/>
    </w:p>
    <w:p w14:paraId="617887FC" w14:textId="565F9322" w:rsidR="00220326" w:rsidRPr="00220326" w:rsidRDefault="00220326" w:rsidP="00220326">
      <w:pPr>
        <w:jc w:val="center"/>
        <w:rPr>
          <w:b/>
          <w:bCs/>
          <w:sz w:val="36"/>
          <w:szCs w:val="36"/>
        </w:rPr>
      </w:pPr>
      <w:r w:rsidRPr="00220326">
        <w:rPr>
          <w:b/>
          <w:bCs/>
          <w:sz w:val="36"/>
          <w:szCs w:val="36"/>
        </w:rPr>
        <w:t xml:space="preserve">COVID19 </w:t>
      </w:r>
      <w:r>
        <w:rPr>
          <w:b/>
          <w:bCs/>
          <w:sz w:val="36"/>
          <w:szCs w:val="36"/>
        </w:rPr>
        <w:t xml:space="preserve">&amp; </w:t>
      </w:r>
      <w:r w:rsidRPr="00220326">
        <w:rPr>
          <w:b/>
          <w:bCs/>
          <w:sz w:val="36"/>
          <w:szCs w:val="36"/>
        </w:rPr>
        <w:t>LUDOPATIA</w:t>
      </w:r>
    </w:p>
    <w:p w14:paraId="1508FB34" w14:textId="2B9C5140" w:rsidR="00220326" w:rsidRDefault="00220326" w:rsidP="0022032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Gli effetti del COVID19 sulle abitudini al gioco degli italiani</w:t>
      </w:r>
    </w:p>
    <w:p w14:paraId="26E5CC2F" w14:textId="7A79B06F" w:rsidR="00220326" w:rsidRDefault="00220326" w:rsidP="0022032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Gli italiani tentano il gioco per superare la crisi economica</w:t>
      </w:r>
    </w:p>
    <w:p w14:paraId="29727F92" w14:textId="0E0F722E" w:rsidR="00734C2B" w:rsidRDefault="00734C2B" w:rsidP="0022032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Durante il </w:t>
      </w:r>
      <w:proofErr w:type="spellStart"/>
      <w:r>
        <w:rPr>
          <w:b/>
          <w:bCs/>
          <w:sz w:val="36"/>
          <w:szCs w:val="36"/>
        </w:rPr>
        <w:t>lockdown</w:t>
      </w:r>
      <w:proofErr w:type="spellEnd"/>
      <w:r>
        <w:rPr>
          <w:b/>
          <w:bCs/>
          <w:sz w:val="36"/>
          <w:szCs w:val="36"/>
        </w:rPr>
        <w:t xml:space="preserve"> il 40% </w:t>
      </w:r>
      <w:r w:rsidR="008D4840">
        <w:rPr>
          <w:b/>
          <w:bCs/>
          <w:sz w:val="36"/>
          <w:szCs w:val="36"/>
        </w:rPr>
        <w:t>usciva</w:t>
      </w:r>
      <w:r>
        <w:rPr>
          <w:b/>
          <w:bCs/>
          <w:sz w:val="36"/>
          <w:szCs w:val="36"/>
        </w:rPr>
        <w:t xml:space="preserve"> per giocare in tabaccheria</w:t>
      </w:r>
    </w:p>
    <w:p w14:paraId="019BF754" w14:textId="60048075" w:rsidR="008D4840" w:rsidRDefault="008D4840" w:rsidP="0022032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L’11% ha iniziato a giocare on line durante la chiusura </w:t>
      </w:r>
    </w:p>
    <w:p w14:paraId="27C0E9B0" w14:textId="176361D6" w:rsidR="008D4840" w:rsidRDefault="008D4840" w:rsidP="0022032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1,3 milioni i malati accertati</w:t>
      </w:r>
    </w:p>
    <w:p w14:paraId="5AACFAF3" w14:textId="39241C90" w:rsidR="008D4840" w:rsidRDefault="008D4840" w:rsidP="00220326">
      <w:pPr>
        <w:jc w:val="center"/>
        <w:rPr>
          <w:b/>
          <w:bCs/>
          <w:sz w:val="36"/>
          <w:szCs w:val="36"/>
        </w:rPr>
      </w:pPr>
    </w:p>
    <w:p w14:paraId="39688373" w14:textId="77777777" w:rsidR="008D4840" w:rsidRPr="00220326" w:rsidRDefault="008D4840" w:rsidP="00220326">
      <w:pPr>
        <w:jc w:val="center"/>
        <w:rPr>
          <w:b/>
          <w:bCs/>
          <w:sz w:val="36"/>
          <w:szCs w:val="36"/>
        </w:rPr>
      </w:pPr>
    </w:p>
    <w:p w14:paraId="69D51ECE" w14:textId="4A540E5B" w:rsidR="00220326" w:rsidRPr="008D4840" w:rsidRDefault="008D4840" w:rsidP="00796C35">
      <w:pPr>
        <w:rPr>
          <w:b/>
          <w:bCs/>
        </w:rPr>
      </w:pPr>
      <w:r w:rsidRPr="008D4840">
        <w:rPr>
          <w:b/>
          <w:bCs/>
        </w:rPr>
        <w:t>Il contesto economico</w:t>
      </w:r>
    </w:p>
    <w:p w14:paraId="627D8D12" w14:textId="5A61826B" w:rsidR="00796C35" w:rsidRDefault="00796C35" w:rsidP="00796C35">
      <w:r>
        <w:t xml:space="preserve">La pandemia e le misure di contenimento hanno spinto la maggior parte dei Paesi del mondo verso la recessione. </w:t>
      </w:r>
      <w:proofErr w:type="spellStart"/>
      <w:r>
        <w:t>L’Fmi</w:t>
      </w:r>
      <w:proofErr w:type="spellEnd"/>
      <w:r>
        <w:t xml:space="preserve"> e la Ce prevedono rispettivamente, per la fine del 2020 una </w:t>
      </w:r>
      <w:r w:rsidRPr="00220326">
        <w:rPr>
          <w:b/>
          <w:bCs/>
        </w:rPr>
        <w:t xml:space="preserve">contrazione del </w:t>
      </w:r>
      <w:proofErr w:type="spellStart"/>
      <w:r w:rsidRPr="00220326">
        <w:rPr>
          <w:b/>
          <w:bCs/>
        </w:rPr>
        <w:t>Pil</w:t>
      </w:r>
      <w:proofErr w:type="spellEnd"/>
      <w:r w:rsidRPr="00220326">
        <w:rPr>
          <w:b/>
          <w:bCs/>
        </w:rPr>
        <w:t xml:space="preserve"> Italiano del 12,8% e 11,2%.</w:t>
      </w:r>
      <w:r>
        <w:t xml:space="preserve"> L’Ocse stima per il nostro Paese un incremento della </w:t>
      </w:r>
      <w:r w:rsidRPr="00220326">
        <w:rPr>
          <w:b/>
          <w:bCs/>
        </w:rPr>
        <w:t>disoccupazione fino al 12.4%.</w:t>
      </w:r>
    </w:p>
    <w:p w14:paraId="786C5DF1" w14:textId="15B784AA" w:rsidR="00796C35" w:rsidRDefault="00796C35" w:rsidP="00796C35">
      <w:r>
        <w:t xml:space="preserve">Per quanto riguarda i dati sulla occupazione, tra febbraio e giugno 2020, circa mezzo milione di lavoratori ha perso il proprio posto di lavoro, nonostante lo stop ai licenziamenti ancora in vigore (fonte INPS); inoltre, secondo un sondaggio effettuato da </w:t>
      </w:r>
      <w:proofErr w:type="spellStart"/>
      <w:r>
        <w:t>Swg</w:t>
      </w:r>
      <w:proofErr w:type="spellEnd"/>
      <w:r>
        <w:t xml:space="preserve">, ci sarebbero 90mila imprese già fallite a causa del coronavirus e altre 600mila a rischio. </w:t>
      </w:r>
    </w:p>
    <w:p w14:paraId="1582AD97" w14:textId="514A47A1" w:rsidR="00220326" w:rsidRDefault="00796C35" w:rsidP="00796C35">
      <w:r>
        <w:t xml:space="preserve">Lo studio </w:t>
      </w:r>
      <w:proofErr w:type="spellStart"/>
      <w:r w:rsidRPr="00220326">
        <w:rPr>
          <w:b/>
          <w:bCs/>
        </w:rPr>
        <w:t>GAPS#iorestoacasa</w:t>
      </w:r>
      <w:proofErr w:type="spellEnd"/>
      <w:r>
        <w:t xml:space="preserve"> condotto tra aprile e maggio 2020 dall’Istituto di fisiologia clinica del </w:t>
      </w:r>
      <w:proofErr w:type="spellStart"/>
      <w:r>
        <w:t>Cnr</w:t>
      </w:r>
      <w:proofErr w:type="spellEnd"/>
      <w:r>
        <w:t xml:space="preserve"> di Pisa rileva il cambiamento dei comportamenti di gioco nel periodo di </w:t>
      </w:r>
      <w:proofErr w:type="spellStart"/>
      <w:r>
        <w:t>lockdown</w:t>
      </w:r>
      <w:proofErr w:type="spellEnd"/>
      <w:r>
        <w:t xml:space="preserve">. </w:t>
      </w:r>
    </w:p>
    <w:p w14:paraId="29C21A3C" w14:textId="77777777" w:rsidR="008D4840" w:rsidRDefault="008D4840" w:rsidP="00796C35">
      <w:pPr>
        <w:rPr>
          <w:b/>
          <w:bCs/>
        </w:rPr>
      </w:pPr>
    </w:p>
    <w:p w14:paraId="29AADA29" w14:textId="3C692BCD" w:rsidR="00220326" w:rsidRPr="00220326" w:rsidRDefault="00220326" w:rsidP="00796C35">
      <w:pPr>
        <w:rPr>
          <w:b/>
          <w:bCs/>
        </w:rPr>
      </w:pPr>
      <w:r w:rsidRPr="00220326">
        <w:rPr>
          <w:b/>
          <w:bCs/>
        </w:rPr>
        <w:t>Gioco Fisico</w:t>
      </w:r>
    </w:p>
    <w:p w14:paraId="705CCF39" w14:textId="21CB7636" w:rsidR="00796C35" w:rsidRDefault="00796C35" w:rsidP="00796C35">
      <w:r>
        <w:t xml:space="preserve">È stata registrata una generale diminuzione del gioco fisico, con più del </w:t>
      </w:r>
      <w:r w:rsidRPr="00220326">
        <w:rPr>
          <w:b/>
          <w:bCs/>
        </w:rPr>
        <w:t xml:space="preserve">35% dei giocatori che ha ridotto le puntate </w:t>
      </w:r>
      <w:r>
        <w:t xml:space="preserve">e quasi </w:t>
      </w:r>
      <w:r w:rsidRPr="00220326">
        <w:rPr>
          <w:b/>
          <w:bCs/>
        </w:rPr>
        <w:t xml:space="preserve">il 23% che ha smesso, </w:t>
      </w:r>
      <w:r>
        <w:t>mentre un intervistato su tre dichiara di aver aumentato le giocate online. Tra gli habitué del gioco fisico il 12% ha continuato anche durante l’isolamento e circa il 10% ha puntato sul web.</w:t>
      </w:r>
    </w:p>
    <w:p w14:paraId="3386B478" w14:textId="77777777" w:rsidR="00796C35" w:rsidRDefault="00796C35" w:rsidP="00796C35">
      <w:r>
        <w:t>Risulta facile ipotizzare che la perdita di lavoro e di riferimenti solidi spinga parte della cittadinanza a cercare fortuna proprio nell’azzardo.</w:t>
      </w:r>
    </w:p>
    <w:p w14:paraId="51C635B0" w14:textId="49ADF186" w:rsidR="00796C35" w:rsidRPr="00734C2B" w:rsidRDefault="00796C35" w:rsidP="00796C35">
      <w:pPr>
        <w:rPr>
          <w:b/>
          <w:bCs/>
        </w:rPr>
      </w:pPr>
      <w:r>
        <w:t xml:space="preserve">Tra i giocatori che hanno giocato on-site nel periodo di </w:t>
      </w:r>
      <w:proofErr w:type="spellStart"/>
      <w:r>
        <w:t>lockdown</w:t>
      </w:r>
      <w:proofErr w:type="spellEnd"/>
      <w:r>
        <w:t xml:space="preserve">, la grande maggioranza riferisce di aver giocato al gratta e vinci (72,5%), seguono Superenalotto e Lotto. La maggioranza è uscita di casa da una a tre volte al mese per giocare, circa il 40% lo ha fatto una o più volte a settimana e l’8,5% quotidianamente, anche più volte. Se la maggior parte dei giocatori on-site ha speso non oltre i 10 euro durante l’intero periodo, </w:t>
      </w:r>
      <w:r w:rsidRPr="00734C2B">
        <w:rPr>
          <w:b/>
          <w:bCs/>
        </w:rPr>
        <w:t>il 26% ha speso tra gli 11 e i 200 euro</w:t>
      </w:r>
      <w:r>
        <w:t xml:space="preserve">, il </w:t>
      </w:r>
      <w:r w:rsidRPr="00734C2B">
        <w:rPr>
          <w:b/>
          <w:bCs/>
        </w:rPr>
        <w:t xml:space="preserve">2,6% tra i 200 e i 500 euro </w:t>
      </w:r>
      <w:r>
        <w:t xml:space="preserve">e </w:t>
      </w:r>
      <w:r w:rsidRPr="00734C2B">
        <w:rPr>
          <w:b/>
          <w:bCs/>
        </w:rPr>
        <w:t xml:space="preserve">il 3,9% si è spinto oltre i 500 </w:t>
      </w:r>
      <w:r w:rsidRPr="00734C2B">
        <w:rPr>
          <w:b/>
          <w:bCs/>
        </w:rPr>
        <w:lastRenderedPageBreak/>
        <w:t>euro di spesa</w:t>
      </w:r>
      <w:r>
        <w:t xml:space="preserve">. Indipendentemente dai soldi spesi, </w:t>
      </w:r>
      <w:proofErr w:type="gramStart"/>
      <w:r w:rsidRPr="00734C2B">
        <w:rPr>
          <w:b/>
          <w:bCs/>
        </w:rPr>
        <w:t>ben  il</w:t>
      </w:r>
      <w:proofErr w:type="gramEnd"/>
      <w:r w:rsidRPr="00734C2B">
        <w:rPr>
          <w:b/>
          <w:bCs/>
        </w:rPr>
        <w:t xml:space="preserve"> 45,7% dei giocatori on-site non ammette la perdita.</w:t>
      </w:r>
    </w:p>
    <w:p w14:paraId="2BADEE5D" w14:textId="77777777" w:rsidR="008D4840" w:rsidRDefault="008D4840" w:rsidP="00796C35">
      <w:pPr>
        <w:rPr>
          <w:b/>
          <w:bCs/>
        </w:rPr>
      </w:pPr>
    </w:p>
    <w:p w14:paraId="31176CD6" w14:textId="16754392" w:rsidR="00734C2B" w:rsidRPr="00734C2B" w:rsidRDefault="00734C2B" w:rsidP="00796C35">
      <w:pPr>
        <w:rPr>
          <w:b/>
          <w:bCs/>
        </w:rPr>
      </w:pPr>
      <w:r w:rsidRPr="00734C2B">
        <w:rPr>
          <w:b/>
          <w:bCs/>
        </w:rPr>
        <w:t>Gioco on line</w:t>
      </w:r>
    </w:p>
    <w:p w14:paraId="3C066F77" w14:textId="77777777" w:rsidR="00796C35" w:rsidRDefault="00796C35" w:rsidP="00796C35">
      <w:r>
        <w:t>Per quanto riguarda il gioco online</w:t>
      </w:r>
      <w:r w:rsidRPr="008D4840">
        <w:rPr>
          <w:b/>
          <w:bCs/>
        </w:rPr>
        <w:t>, il 33,8% riporta di aver aumentato le occasioni di gioco, il 28,8% di non aver modificato le proprie abitudini e l’11,3% di aver iniziato in questa modalità proprio durante l’isolamento</w:t>
      </w:r>
      <w:r>
        <w:t xml:space="preserve">. Questi giocatori hanno preferito poker, slot machine virtuali e scommesse sportive online. Nei giocatori online la frequenza di gioco è maggiore: </w:t>
      </w:r>
      <w:r w:rsidRPr="008D4840">
        <w:rPr>
          <w:b/>
          <w:bCs/>
        </w:rPr>
        <w:t>il 30,5% ha giocato una o più volte al giorno</w:t>
      </w:r>
      <w:r>
        <w:t xml:space="preserve">, altrettanti più volte a settimana, il </w:t>
      </w:r>
      <w:r w:rsidRPr="008D4840">
        <w:rPr>
          <w:b/>
          <w:bCs/>
        </w:rPr>
        <w:t>39% da una a quattro volte nel mese</w:t>
      </w:r>
      <w:r>
        <w:t xml:space="preserve">. La spesa online nel periodo in questione si rivela più consistente, con il </w:t>
      </w:r>
      <w:r w:rsidRPr="008D4840">
        <w:rPr>
          <w:b/>
          <w:bCs/>
        </w:rPr>
        <w:t>14,6% che riferisce di aver speso oltre 500 euro e l’11% tra i 200 e i 500 euro</w:t>
      </w:r>
      <w:r>
        <w:t xml:space="preserve">. Anche in questo caso il </w:t>
      </w:r>
      <w:r w:rsidRPr="008D4840">
        <w:rPr>
          <w:b/>
          <w:bCs/>
        </w:rPr>
        <w:t>44,2% non ammette di essere in perdita</w:t>
      </w:r>
      <w:r>
        <w:t>.</w:t>
      </w:r>
    </w:p>
    <w:p w14:paraId="3232A35C" w14:textId="77777777" w:rsidR="008D4840" w:rsidRDefault="008D4840" w:rsidP="00796C35">
      <w:pPr>
        <w:rPr>
          <w:b/>
          <w:bCs/>
        </w:rPr>
      </w:pPr>
    </w:p>
    <w:p w14:paraId="5DEEE97E" w14:textId="5BB1DCE2" w:rsidR="00796C35" w:rsidRPr="008D4840" w:rsidRDefault="008D4840" w:rsidP="00796C35">
      <w:pPr>
        <w:rPr>
          <w:b/>
          <w:bCs/>
        </w:rPr>
      </w:pPr>
      <w:r w:rsidRPr="008D4840">
        <w:rPr>
          <w:b/>
          <w:bCs/>
        </w:rPr>
        <w:t>La spesa col</w:t>
      </w:r>
      <w:r>
        <w:rPr>
          <w:b/>
          <w:bCs/>
        </w:rPr>
        <w:t>l</w:t>
      </w:r>
      <w:r w:rsidRPr="008D4840">
        <w:rPr>
          <w:b/>
          <w:bCs/>
        </w:rPr>
        <w:t>ettiva</w:t>
      </w:r>
    </w:p>
    <w:p w14:paraId="318068A2" w14:textId="77777777" w:rsidR="00796C35" w:rsidRPr="008D4840" w:rsidRDefault="00796C35" w:rsidP="00796C35">
      <w:pPr>
        <w:rPr>
          <w:b/>
          <w:bCs/>
        </w:rPr>
      </w:pPr>
      <w:r>
        <w:t xml:space="preserve">Negli ultimi anni aveva già iniziato a verificarsi, a livello globale, un passaggio dal gioco offline a quello online. In Italia, la spesa totale nel mercato in rete è passata da </w:t>
      </w:r>
      <w:r w:rsidRPr="008D4840">
        <w:rPr>
          <w:b/>
          <w:bCs/>
        </w:rPr>
        <w:t>823 milioni di euro nel 2015 a 1.854 milioni nel 2019.</w:t>
      </w:r>
    </w:p>
    <w:p w14:paraId="263ACADF" w14:textId="77777777" w:rsidR="00796C35" w:rsidRDefault="00796C35" w:rsidP="00796C35">
      <w:r>
        <w:t xml:space="preserve">La crescita del gioco a distanza è coerente con tutti gli altri settori economici, in cui il mercato online è in aumento con una rapidità senza precedenti. In Italia, le versioni online di poker, carte, bingo e giochi da casinò sono aumentate di popolarità in modo significativo durante il </w:t>
      </w:r>
      <w:proofErr w:type="spellStart"/>
      <w:r>
        <w:t>lockdown</w:t>
      </w:r>
      <w:proofErr w:type="spellEnd"/>
      <w:r>
        <w:t xml:space="preserve">. </w:t>
      </w:r>
    </w:p>
    <w:p w14:paraId="38859372" w14:textId="5FD0BB48" w:rsidR="00796C35" w:rsidRPr="008D4840" w:rsidRDefault="008D4840" w:rsidP="00796C35">
      <w:pPr>
        <w:rPr>
          <w:b/>
          <w:bCs/>
        </w:rPr>
      </w:pPr>
      <w:r w:rsidRPr="008D4840">
        <w:rPr>
          <w:b/>
          <w:bCs/>
        </w:rPr>
        <w:t>1,3 milioni di malati</w:t>
      </w:r>
      <w:r>
        <w:rPr>
          <w:b/>
          <w:bCs/>
        </w:rPr>
        <w:t xml:space="preserve"> accertati</w:t>
      </w:r>
    </w:p>
    <w:p w14:paraId="77764C5C" w14:textId="77777777" w:rsidR="00796C35" w:rsidRPr="008D4840" w:rsidRDefault="00796C35" w:rsidP="00796C35">
      <w:pPr>
        <w:rPr>
          <w:b/>
          <w:bCs/>
        </w:rPr>
      </w:pPr>
      <w:r>
        <w:t xml:space="preserve">Secondo i dati dell'Osservatorio nazionale (ISS-2019) i malati di </w:t>
      </w:r>
      <w:proofErr w:type="spellStart"/>
      <w:r>
        <w:t>ludopatia</w:t>
      </w:r>
      <w:proofErr w:type="spellEnd"/>
      <w:r>
        <w:t xml:space="preserve"> in Italia sono </w:t>
      </w:r>
      <w:r w:rsidRPr="008D4840">
        <w:rPr>
          <w:b/>
          <w:bCs/>
        </w:rPr>
        <w:t xml:space="preserve">1,3 milioni, con una vera e propria diagnosi accertata di dipendenza patologica. </w:t>
      </w:r>
    </w:p>
    <w:p w14:paraId="65A0AC72" w14:textId="77777777" w:rsidR="008D4840" w:rsidRDefault="00796C35" w:rsidP="00796C35">
      <w:r>
        <w:t xml:space="preserve">La situazione attuale sta favorendo l'emersione problematica all'interno delle famiglie e può quindi diventare un'occasione per prenderne </w:t>
      </w:r>
      <w:proofErr w:type="gramStart"/>
      <w:r>
        <w:t>consapevolezza  e</w:t>
      </w:r>
      <w:proofErr w:type="gramEnd"/>
      <w:r>
        <w:t xml:space="preserve"> coscienza. </w:t>
      </w:r>
    </w:p>
    <w:p w14:paraId="105C5E5C" w14:textId="2FBC4B47" w:rsidR="00796C35" w:rsidRDefault="00796C35" w:rsidP="00796C35">
      <w:r>
        <w:t xml:space="preserve">In questo contesto le </w:t>
      </w:r>
      <w:proofErr w:type="gramStart"/>
      <w:r>
        <w:t>richieste  di</w:t>
      </w:r>
      <w:proofErr w:type="gramEnd"/>
      <w:r>
        <w:t xml:space="preserve"> aiuto alle associazioni dei consumatori sono aumentate, soprattutto per quanto concerne la gestione delle  difficoltà economiche e debitorie, per le segnalazioni ai SIC – sistemi di informazione creditizia e le relative pratiche necessarie alla cancellazione dalla banche dati dei  così detti ‘elenchi dei cattivi pagatori’. </w:t>
      </w:r>
    </w:p>
    <w:p w14:paraId="591480A7" w14:textId="65AD92FE" w:rsidR="009A2F3B" w:rsidRDefault="009A2F3B"/>
    <w:p w14:paraId="4EED124F" w14:textId="3AC00D1B" w:rsidR="008D4840" w:rsidRPr="008D4840" w:rsidRDefault="008D4840">
      <w:pPr>
        <w:rPr>
          <w:i/>
          <w:iCs/>
        </w:rPr>
      </w:pPr>
      <w:r w:rsidRPr="008D4840">
        <w:rPr>
          <w:i/>
          <w:iCs/>
        </w:rPr>
        <w:t>Dati elaborati da ASSOUTENTI NAZIONALE su fonti:</w:t>
      </w:r>
    </w:p>
    <w:p w14:paraId="5466B1B5" w14:textId="0FBDFE80" w:rsidR="008D4840" w:rsidRDefault="008D4840" w:rsidP="008D4840">
      <w:pPr>
        <w:pStyle w:val="Paragrafoelenco"/>
        <w:numPr>
          <w:ilvl w:val="0"/>
          <w:numId w:val="1"/>
        </w:numPr>
      </w:pPr>
      <w:r>
        <w:t xml:space="preserve">Fondo </w:t>
      </w:r>
      <w:r w:rsidR="00B46A96">
        <w:t>m</w:t>
      </w:r>
      <w:r>
        <w:t>onetario internazionale</w:t>
      </w:r>
    </w:p>
    <w:p w14:paraId="732F636C" w14:textId="5FCDF700" w:rsidR="008D4840" w:rsidRDefault="008D4840" w:rsidP="008D4840">
      <w:pPr>
        <w:pStyle w:val="Paragrafoelenco"/>
        <w:numPr>
          <w:ilvl w:val="0"/>
          <w:numId w:val="1"/>
        </w:numPr>
      </w:pPr>
      <w:r>
        <w:t>SWG</w:t>
      </w:r>
    </w:p>
    <w:p w14:paraId="4F7AA0C2" w14:textId="24BBD1A7" w:rsidR="008D4840" w:rsidRDefault="008D4840" w:rsidP="008D4840">
      <w:pPr>
        <w:pStyle w:val="Paragrafoelenco"/>
        <w:numPr>
          <w:ilvl w:val="0"/>
          <w:numId w:val="1"/>
        </w:numPr>
      </w:pPr>
      <w:r>
        <w:t>Istituto Superiore Sanità</w:t>
      </w:r>
    </w:p>
    <w:p w14:paraId="1145257C" w14:textId="6BE0D051" w:rsidR="008D4840" w:rsidRDefault="008D4840"/>
    <w:p w14:paraId="2AA4A146" w14:textId="08CBB900" w:rsidR="008D4840" w:rsidRDefault="008D4840"/>
    <w:p w14:paraId="0A84DBD1" w14:textId="25F197DA" w:rsidR="008D4840" w:rsidRDefault="008D4840"/>
    <w:p w14:paraId="405B3F24" w14:textId="6AD400FE" w:rsidR="008D4840" w:rsidRDefault="008D4840">
      <w:pPr>
        <w:rPr>
          <w:i/>
          <w:iCs/>
        </w:rPr>
      </w:pPr>
      <w:r w:rsidRPr="008D4840">
        <w:rPr>
          <w:i/>
          <w:iCs/>
        </w:rPr>
        <w:t>Revisionato il, 1 marzo 2021</w:t>
      </w:r>
    </w:p>
    <w:p w14:paraId="1CB1267D" w14:textId="6E939B5E" w:rsidR="008D4840" w:rsidRPr="008D4840" w:rsidRDefault="008D4840" w:rsidP="008D4840">
      <w:pPr>
        <w:rPr>
          <w:i/>
          <w:iCs/>
        </w:rPr>
      </w:pPr>
      <w:proofErr w:type="spellStart"/>
      <w:proofErr w:type="gramStart"/>
      <w:r>
        <w:rPr>
          <w:i/>
          <w:iCs/>
        </w:rPr>
        <w:t>Assoutenti</w:t>
      </w:r>
      <w:proofErr w:type="spellEnd"/>
      <w:r>
        <w:rPr>
          <w:i/>
          <w:iCs/>
        </w:rPr>
        <w:t xml:space="preserve">  Nazionale</w:t>
      </w:r>
      <w:proofErr w:type="gramEnd"/>
    </w:p>
    <w:sectPr w:rsidR="008D4840" w:rsidRPr="008D48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775CC"/>
    <w:multiLevelType w:val="hybridMultilevel"/>
    <w:tmpl w:val="DE6A3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35"/>
    <w:rsid w:val="00104755"/>
    <w:rsid w:val="00220326"/>
    <w:rsid w:val="00734C2B"/>
    <w:rsid w:val="00796C35"/>
    <w:rsid w:val="008D4840"/>
    <w:rsid w:val="009A2F3B"/>
    <w:rsid w:val="00B4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F4FA"/>
  <w15:chartTrackingRefBased/>
  <w15:docId w15:val="{AAFEAD9B-33A4-46F5-A8CA-A4671BCC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4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9ABD4-1C2B-47A3-849F-3A3EC9031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Utente</cp:lastModifiedBy>
  <cp:revision>2</cp:revision>
  <dcterms:created xsi:type="dcterms:W3CDTF">2021-03-04T09:50:00Z</dcterms:created>
  <dcterms:modified xsi:type="dcterms:W3CDTF">2021-03-04T09:50:00Z</dcterms:modified>
</cp:coreProperties>
</file>