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B93" w:rsidRPr="00FF1A7B" w:rsidRDefault="00746B93" w:rsidP="0045012B">
      <w:pPr>
        <w:widowControl/>
        <w:overflowPunct/>
        <w:autoSpaceDE/>
        <w:autoSpaceDN/>
        <w:adjustRightInd/>
        <w:spacing w:before="0" w:after="0" w:line="100" w:lineRule="exact"/>
        <w:jc w:val="both"/>
        <w:rPr>
          <w:rFonts w:ascii="Arial" w:hAnsi="Arial" w:cs="Arial"/>
          <w:b/>
          <w:sz w:val="14"/>
          <w:szCs w:val="21"/>
        </w:rPr>
      </w:pPr>
    </w:p>
    <w:p w:rsidR="00BE18AD" w:rsidRPr="00986400" w:rsidRDefault="00BE18AD" w:rsidP="00921CE1">
      <w:pPr>
        <w:spacing w:before="0" w:after="0"/>
        <w:ind w:left="1843"/>
        <w:rPr>
          <w:rFonts w:ascii="Arial" w:hAnsi="Arial" w:cs="Arial"/>
          <w:noProof/>
          <w:color w:val="5F5F5F"/>
          <w:szCs w:val="28"/>
        </w:rPr>
      </w:pPr>
    </w:p>
    <w:p w:rsidR="008A27B3" w:rsidRPr="00C8504B" w:rsidRDefault="005B7BD6" w:rsidP="00921CE1">
      <w:pPr>
        <w:spacing w:before="0" w:after="0"/>
        <w:ind w:left="1843"/>
        <w:rPr>
          <w:rFonts w:ascii="Arial" w:hAnsi="Arial" w:cs="Arial"/>
          <w:color w:val="5F5F5F"/>
          <w:sz w:val="28"/>
          <w:szCs w:val="28"/>
        </w:rPr>
      </w:pPr>
      <w:r>
        <w:rPr>
          <w:rFonts w:ascii="Arial" w:hAnsi="Arial" w:cs="Arial"/>
          <w:noProof/>
          <w:color w:val="5F5F5F"/>
          <w:sz w:val="28"/>
          <w:szCs w:val="28"/>
        </w:rPr>
        <w:t>Gennaio</w:t>
      </w:r>
      <w:r w:rsidR="00432B1B">
        <w:rPr>
          <w:rFonts w:ascii="Arial" w:hAnsi="Arial" w:cs="Arial"/>
          <w:noProof/>
          <w:color w:val="5F5F5F"/>
          <w:sz w:val="28"/>
          <w:szCs w:val="28"/>
        </w:rPr>
        <w:t xml:space="preserve"> 20</w:t>
      </w:r>
      <w:r>
        <w:rPr>
          <w:rFonts w:ascii="Arial" w:hAnsi="Arial" w:cs="Arial"/>
          <w:noProof/>
          <w:color w:val="5F5F5F"/>
          <w:sz w:val="28"/>
          <w:szCs w:val="28"/>
        </w:rPr>
        <w:t>2</w:t>
      </w:r>
      <w:r w:rsidR="00432B1B">
        <w:rPr>
          <w:rFonts w:ascii="Arial" w:hAnsi="Arial" w:cs="Arial"/>
          <w:noProof/>
          <w:color w:val="5F5F5F"/>
          <w:sz w:val="28"/>
          <w:szCs w:val="28"/>
        </w:rPr>
        <w:t>2</w:t>
      </w:r>
    </w:p>
    <w:p w:rsidR="008A27B3" w:rsidRPr="00C8504B" w:rsidRDefault="004C4EFD" w:rsidP="00921CE1">
      <w:pPr>
        <w:spacing w:before="0" w:after="0"/>
        <w:ind w:left="1843"/>
        <w:rPr>
          <w:rFonts w:ascii="Calibri" w:hAnsi="Calibri" w:cs="Arial"/>
          <w:b/>
          <w:bCs/>
          <w:color w:val="5F5F5F"/>
          <w:w w:val="95"/>
          <w:sz w:val="52"/>
          <w:szCs w:val="52"/>
        </w:rPr>
      </w:pPr>
      <w:r>
        <w:rPr>
          <w:rFonts w:ascii="Calibri" w:hAnsi="Calibri" w:cs="Arial"/>
          <w:b/>
          <w:bCs/>
          <w:color w:val="5F5F5F"/>
          <w:w w:val="95"/>
          <w:sz w:val="52"/>
          <w:szCs w:val="52"/>
        </w:rPr>
        <w:t>P</w:t>
      </w:r>
      <w:r w:rsidR="008A27B3" w:rsidRPr="00C8504B">
        <w:rPr>
          <w:rFonts w:ascii="Calibri" w:hAnsi="Calibri" w:cs="Arial"/>
          <w:b/>
          <w:bCs/>
          <w:color w:val="5F5F5F"/>
          <w:w w:val="95"/>
          <w:sz w:val="52"/>
          <w:szCs w:val="52"/>
        </w:rPr>
        <w:t>REZZI AL CONSUMO</w:t>
      </w:r>
    </w:p>
    <w:p w:rsidR="008A27B3" w:rsidRPr="00FA655E" w:rsidRDefault="008A27B3" w:rsidP="00921CE1">
      <w:pPr>
        <w:spacing w:before="0" w:after="0"/>
        <w:ind w:left="1843"/>
        <w:rPr>
          <w:rFonts w:ascii="Arial" w:hAnsi="Arial" w:cs="Arial"/>
          <w:color w:val="808080"/>
          <w:sz w:val="28"/>
          <w:szCs w:val="28"/>
        </w:rPr>
      </w:pPr>
      <w:r w:rsidRPr="00FA655E">
        <w:rPr>
          <w:rFonts w:ascii="Arial" w:hAnsi="Arial" w:cs="Arial"/>
          <w:color w:val="808080"/>
          <w:sz w:val="28"/>
          <w:szCs w:val="28"/>
        </w:rPr>
        <w:t>Dati definitivi</w:t>
      </w:r>
    </w:p>
    <w:p w:rsidR="008A27B3" w:rsidRPr="00931034" w:rsidRDefault="008A27B3" w:rsidP="00931034">
      <w:pPr>
        <w:spacing w:before="0" w:after="120" w:line="160" w:lineRule="exact"/>
        <w:ind w:left="1814"/>
        <w:rPr>
          <w:rFonts w:ascii="Arial Narrow" w:hAnsi="Arial Narrow" w:cs="Arial"/>
          <w:color w:val="808080"/>
        </w:rPr>
      </w:pPr>
    </w:p>
    <w:p w:rsidR="00EC66CA" w:rsidRDefault="00BA2932" w:rsidP="008F2167">
      <w:pPr>
        <w:widowControl/>
        <w:numPr>
          <w:ilvl w:val="0"/>
          <w:numId w:val="5"/>
        </w:numPr>
        <w:overflowPunct/>
        <w:autoSpaceDE/>
        <w:autoSpaceDN/>
        <w:adjustRightInd/>
        <w:spacing w:before="0" w:line="230" w:lineRule="exact"/>
        <w:jc w:val="both"/>
        <w:rPr>
          <w:rFonts w:ascii="Arial" w:hAnsi="Arial" w:cs="Arial"/>
          <w:sz w:val="21"/>
          <w:szCs w:val="21"/>
        </w:rPr>
      </w:pPr>
      <w:r w:rsidRPr="00FA655E">
        <w:rPr>
          <w:rFonts w:ascii="Arial" w:hAnsi="Arial" w:cs="Arial"/>
          <w:iCs/>
          <w:sz w:val="21"/>
          <w:szCs w:val="21"/>
        </w:rPr>
        <w:t xml:space="preserve">Nel mese di </w:t>
      </w:r>
      <w:r w:rsidR="00367107">
        <w:rPr>
          <w:rFonts w:ascii="Arial" w:hAnsi="Arial" w:cs="Arial"/>
          <w:iCs/>
          <w:sz w:val="21"/>
          <w:szCs w:val="21"/>
        </w:rPr>
        <w:t>gennaio 2022</w:t>
      </w:r>
      <w:r w:rsidRPr="00FA655E">
        <w:rPr>
          <w:rFonts w:ascii="Arial" w:hAnsi="Arial" w:cs="Arial"/>
          <w:iCs/>
          <w:sz w:val="21"/>
          <w:szCs w:val="21"/>
        </w:rPr>
        <w:t xml:space="preserve">, si stima che </w:t>
      </w:r>
      <w:r w:rsidRPr="00FA655E">
        <w:rPr>
          <w:rFonts w:ascii="Arial" w:hAnsi="Arial" w:cs="Arial"/>
          <w:sz w:val="21"/>
          <w:szCs w:val="21"/>
        </w:rPr>
        <w:t xml:space="preserve">l’indice nazionale dei prezzi al consumo per l’intera collettività (NIC), al lordo dei tabacchi, </w:t>
      </w:r>
      <w:r>
        <w:rPr>
          <w:rFonts w:ascii="Arial" w:hAnsi="Arial" w:cs="Arial"/>
          <w:sz w:val="21"/>
          <w:szCs w:val="21"/>
        </w:rPr>
        <w:t>registri</w:t>
      </w:r>
      <w:r w:rsidRPr="00C02614">
        <w:rPr>
          <w:rFonts w:ascii="Arial" w:hAnsi="Arial" w:cs="Arial"/>
          <w:sz w:val="21"/>
          <w:szCs w:val="21"/>
        </w:rPr>
        <w:t xml:space="preserve"> </w:t>
      </w:r>
      <w:r w:rsidR="00BE1487" w:rsidRPr="00C02614">
        <w:rPr>
          <w:rFonts w:ascii="Arial" w:hAnsi="Arial" w:cs="Arial"/>
          <w:sz w:val="21"/>
          <w:szCs w:val="21"/>
        </w:rPr>
        <w:t>un</w:t>
      </w:r>
      <w:r w:rsidR="000B5984">
        <w:rPr>
          <w:rFonts w:ascii="Arial" w:hAnsi="Arial" w:cs="Arial"/>
          <w:sz w:val="21"/>
          <w:szCs w:val="21"/>
        </w:rPr>
        <w:t xml:space="preserve"> aumento </w:t>
      </w:r>
      <w:r w:rsidR="007961C4">
        <w:rPr>
          <w:rFonts w:ascii="Arial" w:hAnsi="Arial" w:cs="Arial"/>
          <w:sz w:val="21"/>
          <w:szCs w:val="21"/>
        </w:rPr>
        <w:t>dell’1,</w:t>
      </w:r>
      <w:r w:rsidR="00342020">
        <w:rPr>
          <w:rFonts w:ascii="Arial" w:hAnsi="Arial" w:cs="Arial"/>
          <w:sz w:val="21"/>
          <w:szCs w:val="21"/>
        </w:rPr>
        <w:t>6</w:t>
      </w:r>
      <w:r w:rsidR="00367107" w:rsidRPr="002E2387">
        <w:rPr>
          <w:rFonts w:ascii="Arial" w:hAnsi="Arial" w:cs="Arial"/>
          <w:sz w:val="21"/>
          <w:szCs w:val="21"/>
        </w:rPr>
        <w:t xml:space="preserve">% su base mensile e del </w:t>
      </w:r>
      <w:r w:rsidR="00342020">
        <w:rPr>
          <w:rFonts w:ascii="Arial" w:hAnsi="Arial" w:cs="Arial"/>
          <w:sz w:val="21"/>
          <w:szCs w:val="21"/>
        </w:rPr>
        <w:t>4,8</w:t>
      </w:r>
      <w:r w:rsidR="00367107" w:rsidRPr="002E2387">
        <w:rPr>
          <w:rFonts w:ascii="Arial" w:hAnsi="Arial" w:cs="Arial"/>
          <w:sz w:val="21"/>
          <w:szCs w:val="21"/>
        </w:rPr>
        <w:t>% su base annua (</w:t>
      </w:r>
      <w:r w:rsidR="00367107">
        <w:rPr>
          <w:rFonts w:ascii="Arial" w:hAnsi="Arial" w:cs="Arial"/>
          <w:sz w:val="21"/>
          <w:szCs w:val="21"/>
        </w:rPr>
        <w:t>da +3,9</w:t>
      </w:r>
      <w:r w:rsidR="00367107" w:rsidRPr="002E2387">
        <w:rPr>
          <w:rFonts w:ascii="Arial" w:hAnsi="Arial" w:cs="Arial"/>
          <w:sz w:val="21"/>
          <w:szCs w:val="21"/>
        </w:rPr>
        <w:t>% del mese precedente)</w:t>
      </w:r>
      <w:r w:rsidR="00342020">
        <w:rPr>
          <w:rFonts w:ascii="Arial" w:hAnsi="Arial" w:cs="Arial"/>
          <w:sz w:val="21"/>
          <w:szCs w:val="21"/>
        </w:rPr>
        <w:t xml:space="preserve">, confermando </w:t>
      </w:r>
      <w:r>
        <w:rPr>
          <w:rFonts w:ascii="Arial" w:hAnsi="Arial" w:cs="Arial"/>
          <w:sz w:val="21"/>
          <w:szCs w:val="21"/>
        </w:rPr>
        <w:t>la stima preliminare</w:t>
      </w:r>
      <w:r w:rsidRPr="00D72B80">
        <w:rPr>
          <w:rFonts w:ascii="Arial" w:hAnsi="Arial" w:cs="Arial"/>
          <w:sz w:val="21"/>
          <w:szCs w:val="21"/>
        </w:rPr>
        <w:t>.</w:t>
      </w:r>
    </w:p>
    <w:p w:rsidR="00BE1487" w:rsidRPr="00342020" w:rsidRDefault="008F2167" w:rsidP="00342020">
      <w:pPr>
        <w:widowControl/>
        <w:numPr>
          <w:ilvl w:val="0"/>
          <w:numId w:val="5"/>
        </w:numPr>
        <w:overflowPunct/>
        <w:autoSpaceDE/>
        <w:autoSpaceDN/>
        <w:adjustRightInd/>
        <w:spacing w:before="0" w:line="230" w:lineRule="exact"/>
        <w:jc w:val="both"/>
        <w:rPr>
          <w:rFonts w:ascii="Arial" w:hAnsi="Arial" w:cs="Arial"/>
          <w:sz w:val="21"/>
          <w:szCs w:val="21"/>
        </w:rPr>
      </w:pPr>
      <w:r w:rsidRPr="00BE35C5">
        <w:rPr>
          <w:rFonts w:ascii="Arial" w:hAnsi="Arial" w:cs="Arial"/>
          <w:sz w:val="21"/>
          <w:szCs w:val="21"/>
        </w:rPr>
        <w:t>L’ulteriore</w:t>
      </w:r>
      <w:r>
        <w:rPr>
          <w:rFonts w:ascii="Arial" w:hAnsi="Arial" w:cs="Arial"/>
          <w:sz w:val="21"/>
          <w:szCs w:val="21"/>
        </w:rPr>
        <w:t xml:space="preserve"> e marcata </w:t>
      </w:r>
      <w:r w:rsidRPr="00BE35C5">
        <w:rPr>
          <w:rFonts w:ascii="Arial" w:hAnsi="Arial" w:cs="Arial"/>
          <w:sz w:val="21"/>
          <w:szCs w:val="21"/>
        </w:rPr>
        <w:t>accelerazione dell’inflazione su base tendenziale è dovuta prevalentemente ai prezzi dei Beni energetic</w:t>
      </w:r>
      <w:r>
        <w:rPr>
          <w:rFonts w:ascii="Arial" w:hAnsi="Arial" w:cs="Arial"/>
          <w:sz w:val="21"/>
          <w:szCs w:val="21"/>
        </w:rPr>
        <w:t>i (la cui crescita passa da +29,1% di dicembre a +38,6</w:t>
      </w:r>
      <w:r w:rsidRPr="00BE35C5">
        <w:rPr>
          <w:rFonts w:ascii="Arial" w:hAnsi="Arial" w:cs="Arial"/>
          <w:sz w:val="21"/>
          <w:szCs w:val="21"/>
        </w:rPr>
        <w:t>%)</w:t>
      </w:r>
      <w:r>
        <w:rPr>
          <w:rFonts w:ascii="Arial" w:hAnsi="Arial" w:cs="Arial"/>
          <w:sz w:val="21"/>
          <w:szCs w:val="21"/>
        </w:rPr>
        <w:t xml:space="preserve">, in particolare a quelli </w:t>
      </w:r>
      <w:r w:rsidRPr="00BE35C5">
        <w:rPr>
          <w:rFonts w:ascii="Arial" w:hAnsi="Arial" w:cs="Arial"/>
          <w:sz w:val="21"/>
          <w:szCs w:val="21"/>
        </w:rPr>
        <w:t>della componente regolamentata (da +41,9%</w:t>
      </w:r>
      <w:r w:rsidR="007961C4">
        <w:rPr>
          <w:rFonts w:ascii="Arial" w:hAnsi="Arial" w:cs="Arial"/>
          <w:sz w:val="21"/>
          <w:szCs w:val="21"/>
        </w:rPr>
        <w:t xml:space="preserve"> a +94,6</w:t>
      </w:r>
      <w:r w:rsidRPr="00BE35C5">
        <w:rPr>
          <w:rFonts w:ascii="Arial" w:hAnsi="Arial" w:cs="Arial"/>
          <w:sz w:val="21"/>
          <w:szCs w:val="21"/>
        </w:rPr>
        <w:t>%)</w:t>
      </w:r>
      <w:r>
        <w:rPr>
          <w:rFonts w:ascii="Arial" w:hAnsi="Arial" w:cs="Arial"/>
          <w:sz w:val="21"/>
          <w:szCs w:val="21"/>
        </w:rPr>
        <w:t>, e in misura minore ai</w:t>
      </w:r>
      <w:r w:rsidRPr="00BE35C5">
        <w:rPr>
          <w:rFonts w:ascii="Arial" w:hAnsi="Arial" w:cs="Arial"/>
          <w:sz w:val="21"/>
          <w:szCs w:val="21"/>
        </w:rPr>
        <w:t xml:space="preserve"> </w:t>
      </w:r>
      <w:r>
        <w:rPr>
          <w:rFonts w:ascii="Arial" w:hAnsi="Arial" w:cs="Arial"/>
          <w:sz w:val="21"/>
          <w:szCs w:val="21"/>
        </w:rPr>
        <w:t xml:space="preserve">prezzi </w:t>
      </w:r>
      <w:r w:rsidRPr="00BE35C5">
        <w:rPr>
          <w:rFonts w:ascii="Arial" w:hAnsi="Arial" w:cs="Arial"/>
          <w:sz w:val="21"/>
          <w:szCs w:val="21"/>
        </w:rPr>
        <w:t>de</w:t>
      </w:r>
      <w:r>
        <w:rPr>
          <w:rFonts w:ascii="Arial" w:hAnsi="Arial" w:cs="Arial"/>
          <w:sz w:val="21"/>
          <w:szCs w:val="21"/>
        </w:rPr>
        <w:t xml:space="preserve">i Beni energetici non regolamentati </w:t>
      </w:r>
      <w:r w:rsidRPr="00BE35C5">
        <w:rPr>
          <w:rFonts w:ascii="Arial" w:hAnsi="Arial" w:cs="Arial"/>
          <w:sz w:val="21"/>
          <w:szCs w:val="21"/>
        </w:rPr>
        <w:t>(da +</w:t>
      </w:r>
      <w:r w:rsidR="007961C4">
        <w:rPr>
          <w:rFonts w:ascii="Arial" w:hAnsi="Arial" w:cs="Arial"/>
          <w:sz w:val="21"/>
          <w:szCs w:val="21"/>
        </w:rPr>
        <w:t>22,0% a +22,9</w:t>
      </w:r>
      <w:r w:rsidRPr="00BE35C5">
        <w:rPr>
          <w:rFonts w:ascii="Arial" w:hAnsi="Arial" w:cs="Arial"/>
          <w:sz w:val="21"/>
          <w:szCs w:val="21"/>
        </w:rPr>
        <w:t>%)</w:t>
      </w:r>
      <w:r>
        <w:rPr>
          <w:rFonts w:ascii="Arial" w:hAnsi="Arial" w:cs="Arial"/>
          <w:sz w:val="21"/>
          <w:szCs w:val="21"/>
        </w:rPr>
        <w:t>, dei Beni alimentari</w:t>
      </w:r>
      <w:r w:rsidR="007961C4">
        <w:rPr>
          <w:rFonts w:ascii="Arial" w:hAnsi="Arial" w:cs="Arial"/>
          <w:sz w:val="21"/>
          <w:szCs w:val="21"/>
        </w:rPr>
        <w:t xml:space="preserve"> non </w:t>
      </w:r>
      <w:r w:rsidRPr="006419F2">
        <w:rPr>
          <w:rFonts w:ascii="Arial" w:hAnsi="Arial" w:cs="Arial"/>
          <w:sz w:val="21"/>
          <w:szCs w:val="21"/>
        </w:rPr>
        <w:t>lavorati (da +</w:t>
      </w:r>
      <w:r>
        <w:rPr>
          <w:rFonts w:ascii="Arial" w:hAnsi="Arial" w:cs="Arial"/>
          <w:sz w:val="21"/>
          <w:szCs w:val="21"/>
        </w:rPr>
        <w:t>3,6</w:t>
      </w:r>
      <w:r w:rsidRPr="006419F2">
        <w:rPr>
          <w:rFonts w:ascii="Arial" w:hAnsi="Arial" w:cs="Arial"/>
          <w:sz w:val="21"/>
          <w:szCs w:val="21"/>
        </w:rPr>
        <w:t>% a +</w:t>
      </w:r>
      <w:r w:rsidR="007961C4">
        <w:rPr>
          <w:rFonts w:ascii="Arial" w:hAnsi="Arial" w:cs="Arial"/>
          <w:sz w:val="21"/>
          <w:szCs w:val="21"/>
        </w:rPr>
        <w:t>5,3</w:t>
      </w:r>
      <w:r w:rsidRPr="006419F2">
        <w:rPr>
          <w:rFonts w:ascii="Arial" w:hAnsi="Arial" w:cs="Arial"/>
          <w:sz w:val="21"/>
          <w:szCs w:val="21"/>
        </w:rPr>
        <w:t>%)</w:t>
      </w:r>
      <w:r>
        <w:rPr>
          <w:rFonts w:ascii="Arial" w:hAnsi="Arial" w:cs="Arial"/>
          <w:sz w:val="21"/>
          <w:szCs w:val="21"/>
        </w:rPr>
        <w:t xml:space="preserve"> e a </w:t>
      </w:r>
      <w:r w:rsidRPr="00BE35C5">
        <w:rPr>
          <w:rFonts w:ascii="Arial" w:hAnsi="Arial" w:cs="Arial"/>
          <w:sz w:val="21"/>
          <w:szCs w:val="21"/>
        </w:rPr>
        <w:t xml:space="preserve">quelli </w:t>
      </w:r>
      <w:r w:rsidRPr="006419F2">
        <w:rPr>
          <w:rFonts w:ascii="Arial" w:hAnsi="Arial" w:cs="Arial"/>
          <w:sz w:val="21"/>
          <w:szCs w:val="21"/>
        </w:rPr>
        <w:t>dei Servizi ricreativi, culturali e per la cura della persona (da +2,3% a +</w:t>
      </w:r>
      <w:r w:rsidR="00342020">
        <w:rPr>
          <w:rFonts w:ascii="Arial" w:hAnsi="Arial" w:cs="Arial"/>
          <w:sz w:val="21"/>
          <w:szCs w:val="21"/>
        </w:rPr>
        <w:t>3,6</w:t>
      </w:r>
      <w:r w:rsidRPr="006419F2">
        <w:rPr>
          <w:rFonts w:ascii="Arial" w:hAnsi="Arial" w:cs="Arial"/>
          <w:sz w:val="21"/>
          <w:szCs w:val="21"/>
        </w:rPr>
        <w:t xml:space="preserve">%); </w:t>
      </w:r>
      <w:r>
        <w:rPr>
          <w:rFonts w:ascii="Arial" w:hAnsi="Arial" w:cs="Arial"/>
          <w:sz w:val="21"/>
          <w:szCs w:val="21"/>
        </w:rPr>
        <w:t>da segnalare, invece, il rallentamento dei prezzi dei Servizi relati</w:t>
      </w:r>
      <w:r w:rsidR="00342020">
        <w:rPr>
          <w:rFonts w:ascii="Arial" w:hAnsi="Arial" w:cs="Arial"/>
          <w:sz w:val="21"/>
          <w:szCs w:val="21"/>
        </w:rPr>
        <w:t>vi ai trasporti (da +3,6% a +1,5</w:t>
      </w:r>
      <w:r w:rsidRPr="00342020">
        <w:rPr>
          <w:rFonts w:ascii="Arial" w:hAnsi="Arial" w:cs="Arial"/>
          <w:sz w:val="21"/>
          <w:szCs w:val="21"/>
        </w:rPr>
        <w:t>%).</w:t>
      </w:r>
    </w:p>
    <w:p w:rsidR="008F2167" w:rsidRDefault="008F2167" w:rsidP="008F2167">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Pr>
          <w:rFonts w:ascii="Arial" w:hAnsi="Arial" w:cs="Arial"/>
          <w:sz w:val="21"/>
          <w:szCs w:val="21"/>
        </w:rPr>
        <w:t>L</w:t>
      </w:r>
      <w:r w:rsidRPr="00BB0BDC">
        <w:rPr>
          <w:rFonts w:ascii="Arial" w:hAnsi="Arial" w:cs="Arial"/>
          <w:sz w:val="21"/>
          <w:szCs w:val="21"/>
        </w:rPr>
        <w:t>’“inflazione di fondo”, al netto degli energe</w:t>
      </w:r>
      <w:r>
        <w:rPr>
          <w:rFonts w:ascii="Arial" w:hAnsi="Arial" w:cs="Arial"/>
          <w:sz w:val="21"/>
          <w:szCs w:val="21"/>
        </w:rPr>
        <w:t xml:space="preserve">tici e degli alimentari freschi, rimane stabile a +1,5%, mentre </w:t>
      </w:r>
      <w:r w:rsidRPr="00BB0BDC">
        <w:rPr>
          <w:rFonts w:ascii="Arial" w:hAnsi="Arial" w:cs="Arial"/>
          <w:sz w:val="21"/>
          <w:szCs w:val="21"/>
        </w:rPr>
        <w:t xml:space="preserve">quella al netto dei soli beni energetici </w:t>
      </w:r>
      <w:r>
        <w:rPr>
          <w:rFonts w:ascii="Arial" w:hAnsi="Arial" w:cs="Arial"/>
          <w:sz w:val="21"/>
          <w:szCs w:val="21"/>
        </w:rPr>
        <w:t>accelera da +1,6% a +1,8%.</w:t>
      </w:r>
    </w:p>
    <w:p w:rsidR="008F2167" w:rsidRDefault="008F2167" w:rsidP="008F2167">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BA5D8E">
        <w:rPr>
          <w:rFonts w:ascii="Arial" w:hAnsi="Arial" w:cs="Arial"/>
          <w:sz w:val="21"/>
          <w:szCs w:val="21"/>
        </w:rPr>
        <w:t>L’aumento congiunturale dell’indice generale è dovuto</w:t>
      </w:r>
      <w:r>
        <w:rPr>
          <w:rFonts w:ascii="Arial" w:hAnsi="Arial" w:cs="Arial"/>
          <w:sz w:val="21"/>
          <w:szCs w:val="21"/>
        </w:rPr>
        <w:t>,</w:t>
      </w:r>
      <w:r w:rsidRPr="00BA5D8E">
        <w:rPr>
          <w:rFonts w:ascii="Arial" w:hAnsi="Arial" w:cs="Arial"/>
          <w:sz w:val="21"/>
          <w:szCs w:val="21"/>
        </w:rPr>
        <w:t xml:space="preserve"> </w:t>
      </w:r>
      <w:r>
        <w:rPr>
          <w:rFonts w:ascii="Arial" w:hAnsi="Arial" w:cs="Arial"/>
          <w:sz w:val="21"/>
          <w:szCs w:val="21"/>
        </w:rPr>
        <w:t>per lo più,</w:t>
      </w:r>
      <w:r w:rsidRPr="00BA5D8E">
        <w:rPr>
          <w:rFonts w:ascii="Arial" w:hAnsi="Arial" w:cs="Arial"/>
          <w:sz w:val="21"/>
          <w:szCs w:val="21"/>
        </w:rPr>
        <w:t xml:space="preserve"> ai prezzi dei </w:t>
      </w:r>
      <w:r>
        <w:rPr>
          <w:rFonts w:ascii="Arial" w:hAnsi="Arial" w:cs="Arial"/>
          <w:sz w:val="21"/>
          <w:szCs w:val="21"/>
        </w:rPr>
        <w:t>Beni</w:t>
      </w:r>
      <w:r w:rsidR="007961C4">
        <w:rPr>
          <w:rFonts w:ascii="Arial" w:hAnsi="Arial" w:cs="Arial"/>
          <w:sz w:val="21"/>
          <w:szCs w:val="21"/>
        </w:rPr>
        <w:t xml:space="preserve"> energetici regolamentati (+43,8</w:t>
      </w:r>
      <w:r>
        <w:rPr>
          <w:rFonts w:ascii="Arial" w:hAnsi="Arial" w:cs="Arial"/>
          <w:sz w:val="21"/>
          <w:szCs w:val="21"/>
        </w:rPr>
        <w:t>%) e in misura minore a quelli degli En</w:t>
      </w:r>
      <w:r w:rsidR="007961C4">
        <w:rPr>
          <w:rFonts w:ascii="Arial" w:hAnsi="Arial" w:cs="Arial"/>
          <w:sz w:val="21"/>
          <w:szCs w:val="21"/>
        </w:rPr>
        <w:t>ergetici non regolamentati (+3,0</w:t>
      </w:r>
      <w:r>
        <w:rPr>
          <w:rFonts w:ascii="Arial" w:hAnsi="Arial" w:cs="Arial"/>
          <w:sz w:val="21"/>
          <w:szCs w:val="21"/>
        </w:rPr>
        <w:t xml:space="preserve">%), dei Beni alimentari non lavorati </w:t>
      </w:r>
      <w:r w:rsidR="007961C4">
        <w:rPr>
          <w:rFonts w:ascii="Arial" w:hAnsi="Arial" w:cs="Arial"/>
          <w:sz w:val="21"/>
          <w:szCs w:val="21"/>
        </w:rPr>
        <w:t>(+2,0</w:t>
      </w:r>
      <w:r>
        <w:rPr>
          <w:rFonts w:ascii="Arial" w:hAnsi="Arial" w:cs="Arial"/>
          <w:sz w:val="21"/>
          <w:szCs w:val="21"/>
        </w:rPr>
        <w:t>%), degli A</w:t>
      </w:r>
      <w:r w:rsidRPr="00BA5D8E">
        <w:rPr>
          <w:rFonts w:ascii="Arial" w:hAnsi="Arial" w:cs="Arial"/>
          <w:sz w:val="21"/>
          <w:szCs w:val="21"/>
        </w:rPr>
        <w:t xml:space="preserve">limentari </w:t>
      </w:r>
      <w:r w:rsidR="007961C4">
        <w:rPr>
          <w:rFonts w:ascii="Arial" w:hAnsi="Arial" w:cs="Arial"/>
          <w:sz w:val="21"/>
          <w:szCs w:val="21"/>
        </w:rPr>
        <w:t xml:space="preserve">lavorati (+1,3%), dei </w:t>
      </w:r>
      <w:r w:rsidR="007961C4" w:rsidRPr="00BA5D8E">
        <w:rPr>
          <w:rFonts w:ascii="Arial" w:hAnsi="Arial" w:cs="Arial"/>
          <w:sz w:val="21"/>
          <w:szCs w:val="21"/>
        </w:rPr>
        <w:t>Servizi ricreativi, culturali e per la cura della persona (</w:t>
      </w:r>
      <w:r w:rsidR="00342020">
        <w:rPr>
          <w:rFonts w:ascii="Arial" w:hAnsi="Arial" w:cs="Arial"/>
          <w:sz w:val="21"/>
          <w:szCs w:val="21"/>
        </w:rPr>
        <w:t>+1,1</w:t>
      </w:r>
      <w:r w:rsidR="007961C4" w:rsidRPr="00BA5D8E">
        <w:rPr>
          <w:rFonts w:ascii="Arial" w:hAnsi="Arial" w:cs="Arial"/>
          <w:sz w:val="21"/>
          <w:szCs w:val="21"/>
        </w:rPr>
        <w:t>%</w:t>
      </w:r>
      <w:r w:rsidR="007961C4">
        <w:rPr>
          <w:rFonts w:ascii="Arial" w:hAnsi="Arial" w:cs="Arial"/>
          <w:sz w:val="21"/>
          <w:szCs w:val="21"/>
        </w:rPr>
        <w:t xml:space="preserve">) e </w:t>
      </w:r>
      <w:r w:rsidRPr="00BA5D8E">
        <w:rPr>
          <w:rFonts w:ascii="Arial" w:hAnsi="Arial" w:cs="Arial"/>
          <w:sz w:val="21"/>
          <w:szCs w:val="21"/>
        </w:rPr>
        <w:t xml:space="preserve">dei </w:t>
      </w:r>
      <w:r>
        <w:rPr>
          <w:rFonts w:ascii="Arial" w:hAnsi="Arial" w:cs="Arial"/>
          <w:sz w:val="21"/>
          <w:szCs w:val="21"/>
        </w:rPr>
        <w:t>Beni durevoli (+0</w:t>
      </w:r>
      <w:r w:rsidR="00342020">
        <w:rPr>
          <w:rFonts w:ascii="Arial" w:hAnsi="Arial" w:cs="Arial"/>
          <w:sz w:val="21"/>
          <w:szCs w:val="21"/>
        </w:rPr>
        <w:t>,8</w:t>
      </w:r>
      <w:r>
        <w:rPr>
          <w:rFonts w:ascii="Arial" w:hAnsi="Arial" w:cs="Arial"/>
          <w:sz w:val="21"/>
          <w:szCs w:val="21"/>
        </w:rPr>
        <w:t xml:space="preserve">%). Solo </w:t>
      </w:r>
      <w:r w:rsidRPr="00BA5D8E">
        <w:rPr>
          <w:rFonts w:ascii="Arial" w:hAnsi="Arial" w:cs="Arial"/>
          <w:sz w:val="21"/>
          <w:szCs w:val="21"/>
        </w:rPr>
        <w:t xml:space="preserve">i </w:t>
      </w:r>
      <w:r>
        <w:rPr>
          <w:rFonts w:ascii="Arial" w:hAnsi="Arial" w:cs="Arial"/>
          <w:sz w:val="21"/>
          <w:szCs w:val="21"/>
        </w:rPr>
        <w:t>Servizi relativi</w:t>
      </w:r>
      <w:r w:rsidR="00342020">
        <w:rPr>
          <w:rFonts w:ascii="Arial" w:hAnsi="Arial" w:cs="Arial"/>
          <w:sz w:val="21"/>
          <w:szCs w:val="21"/>
        </w:rPr>
        <w:t xml:space="preserve"> ai trasporti diminuiscono (-1,6</w:t>
      </w:r>
      <w:r>
        <w:rPr>
          <w:rFonts w:ascii="Arial" w:hAnsi="Arial" w:cs="Arial"/>
          <w:sz w:val="21"/>
          <w:szCs w:val="21"/>
        </w:rPr>
        <w:t>%), a causa per lo più di fattori stagionali.</w:t>
      </w:r>
    </w:p>
    <w:p w:rsidR="002C59AC" w:rsidRPr="00D11F91" w:rsidRDefault="002C59AC" w:rsidP="002C59AC">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Pr>
          <w:rFonts w:ascii="Arial" w:hAnsi="Arial" w:cs="Arial"/>
          <w:sz w:val="21"/>
          <w:szCs w:val="21"/>
        </w:rPr>
        <w:t>Su base annua accelerano i prezzi dei beni</w:t>
      </w:r>
      <w:r w:rsidRPr="00570391">
        <w:rPr>
          <w:rFonts w:ascii="Arial" w:hAnsi="Arial" w:cs="Arial"/>
          <w:sz w:val="21"/>
          <w:szCs w:val="21"/>
        </w:rPr>
        <w:t xml:space="preserve"> (da </w:t>
      </w:r>
      <w:r>
        <w:rPr>
          <w:rFonts w:ascii="Arial" w:hAnsi="Arial" w:cs="Arial"/>
          <w:sz w:val="21"/>
          <w:szCs w:val="21"/>
        </w:rPr>
        <w:t>+5,5</w:t>
      </w:r>
      <w:r w:rsidRPr="00570391">
        <w:rPr>
          <w:rFonts w:ascii="Arial" w:hAnsi="Arial" w:cs="Arial"/>
          <w:sz w:val="21"/>
          <w:szCs w:val="21"/>
        </w:rPr>
        <w:t xml:space="preserve">% a </w:t>
      </w:r>
      <w:r>
        <w:rPr>
          <w:rFonts w:ascii="Arial" w:hAnsi="Arial" w:cs="Arial"/>
          <w:sz w:val="21"/>
          <w:szCs w:val="21"/>
        </w:rPr>
        <w:t>+7,0</w:t>
      </w:r>
      <w:r w:rsidRPr="00570391">
        <w:rPr>
          <w:rFonts w:ascii="Arial" w:hAnsi="Arial" w:cs="Arial"/>
          <w:sz w:val="21"/>
          <w:szCs w:val="21"/>
        </w:rPr>
        <w:t>%)</w:t>
      </w:r>
      <w:r>
        <w:rPr>
          <w:rFonts w:ascii="Arial" w:hAnsi="Arial" w:cs="Arial"/>
          <w:sz w:val="21"/>
          <w:szCs w:val="21"/>
        </w:rPr>
        <w:t xml:space="preserve"> e di un solo decimo di punto anche quelli dei servizi (da +1,7% a +1,8%)</w:t>
      </w:r>
      <w:r w:rsidRPr="00570391">
        <w:rPr>
          <w:rFonts w:ascii="Arial" w:hAnsi="Arial" w:cs="Arial"/>
          <w:sz w:val="21"/>
          <w:szCs w:val="21"/>
        </w:rPr>
        <w:t xml:space="preserve">; il differenziale inflazionistico </w:t>
      </w:r>
      <w:r w:rsidRPr="00D11F91">
        <w:rPr>
          <w:rFonts w:ascii="Arial" w:hAnsi="Arial" w:cs="Arial"/>
          <w:sz w:val="21"/>
          <w:szCs w:val="21"/>
        </w:rPr>
        <w:t>tra questi ultimi e i prezz</w:t>
      </w:r>
      <w:r>
        <w:rPr>
          <w:rFonts w:ascii="Arial" w:hAnsi="Arial" w:cs="Arial"/>
          <w:sz w:val="21"/>
          <w:szCs w:val="21"/>
        </w:rPr>
        <w:t xml:space="preserve">i dei beni resta negativo (-5,2 </w:t>
      </w:r>
      <w:r w:rsidRPr="00D11F91">
        <w:rPr>
          <w:rFonts w:ascii="Arial" w:hAnsi="Arial" w:cs="Arial"/>
          <w:sz w:val="21"/>
          <w:szCs w:val="21"/>
        </w:rPr>
        <w:t xml:space="preserve">punti percentuali), </w:t>
      </w:r>
      <w:r>
        <w:rPr>
          <w:rFonts w:ascii="Arial" w:hAnsi="Arial" w:cs="Arial"/>
          <w:sz w:val="21"/>
          <w:szCs w:val="21"/>
        </w:rPr>
        <w:t>ampliandosi rispetto a quello registrato a dicembre</w:t>
      </w:r>
      <w:r w:rsidRPr="00D11F91">
        <w:rPr>
          <w:rFonts w:ascii="Arial" w:hAnsi="Arial" w:cs="Arial"/>
          <w:sz w:val="21"/>
          <w:szCs w:val="21"/>
        </w:rPr>
        <w:t xml:space="preserve"> (</w:t>
      </w:r>
      <w:r>
        <w:rPr>
          <w:rFonts w:ascii="Arial" w:hAnsi="Arial" w:cs="Arial"/>
          <w:sz w:val="21"/>
          <w:szCs w:val="21"/>
        </w:rPr>
        <w:t>-3,8</w:t>
      </w:r>
      <w:r w:rsidRPr="00D11F91">
        <w:rPr>
          <w:rFonts w:ascii="Arial" w:hAnsi="Arial" w:cs="Arial"/>
          <w:sz w:val="21"/>
          <w:szCs w:val="21"/>
        </w:rPr>
        <w:t>).</w:t>
      </w:r>
    </w:p>
    <w:p w:rsidR="008F2167" w:rsidRDefault="008F2167" w:rsidP="008F2167">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C4222E">
        <w:rPr>
          <w:rFonts w:ascii="Arial" w:hAnsi="Arial" w:cs="Arial"/>
          <w:sz w:val="21"/>
          <w:szCs w:val="21"/>
        </w:rPr>
        <w:t xml:space="preserve">L’inflazione acquisita per </w:t>
      </w:r>
      <w:r>
        <w:rPr>
          <w:rFonts w:ascii="Arial" w:hAnsi="Arial" w:cs="Arial"/>
          <w:sz w:val="21"/>
          <w:szCs w:val="21"/>
        </w:rPr>
        <w:t xml:space="preserve">il 2022 è </w:t>
      </w:r>
      <w:r w:rsidRPr="00605FC8">
        <w:rPr>
          <w:rFonts w:ascii="Arial" w:hAnsi="Arial" w:cs="Arial"/>
          <w:sz w:val="21"/>
          <w:szCs w:val="21"/>
        </w:rPr>
        <w:t xml:space="preserve">pari </w:t>
      </w:r>
      <w:r w:rsidRPr="00DB2D2A">
        <w:rPr>
          <w:rFonts w:ascii="Arial" w:hAnsi="Arial" w:cs="Arial"/>
          <w:sz w:val="21"/>
          <w:szCs w:val="21"/>
        </w:rPr>
        <w:t xml:space="preserve">a </w:t>
      </w:r>
      <w:r w:rsidR="001F3E5A">
        <w:rPr>
          <w:rFonts w:ascii="Arial" w:hAnsi="Arial" w:cs="Arial"/>
          <w:sz w:val="21"/>
          <w:szCs w:val="21"/>
        </w:rPr>
        <w:t>+3,4</w:t>
      </w:r>
      <w:r w:rsidRPr="00DB2D2A">
        <w:rPr>
          <w:rFonts w:ascii="Arial" w:hAnsi="Arial" w:cs="Arial"/>
          <w:sz w:val="21"/>
          <w:szCs w:val="21"/>
        </w:rPr>
        <w:t>% per l’indice generale e a +</w:t>
      </w:r>
      <w:r>
        <w:rPr>
          <w:rFonts w:ascii="Arial" w:hAnsi="Arial" w:cs="Arial"/>
          <w:sz w:val="21"/>
          <w:szCs w:val="21"/>
        </w:rPr>
        <w:t>1,0</w:t>
      </w:r>
      <w:r w:rsidRPr="00DB2D2A">
        <w:rPr>
          <w:rFonts w:ascii="Arial" w:hAnsi="Arial" w:cs="Arial"/>
          <w:sz w:val="21"/>
          <w:szCs w:val="21"/>
        </w:rPr>
        <w:t>% per</w:t>
      </w:r>
      <w:r w:rsidRPr="00605FC8">
        <w:rPr>
          <w:rFonts w:ascii="Arial" w:hAnsi="Arial" w:cs="Arial"/>
          <w:sz w:val="21"/>
          <w:szCs w:val="21"/>
        </w:rPr>
        <w:t xml:space="preserve"> la componente di fondo.</w:t>
      </w:r>
    </w:p>
    <w:p w:rsidR="00BE1487" w:rsidRDefault="008F2167" w:rsidP="007961C4">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8F2167">
        <w:rPr>
          <w:rFonts w:ascii="Arial" w:hAnsi="Arial" w:cs="Arial"/>
          <w:sz w:val="21"/>
          <w:szCs w:val="21"/>
        </w:rPr>
        <w:t xml:space="preserve">Accelerano sia i prezzi dei Beni alimentari, per la cura della casa e della persona (da +2,4% di dicembre a +3,2%) </w:t>
      </w:r>
      <w:r w:rsidR="007961C4">
        <w:rPr>
          <w:rFonts w:ascii="Arial" w:hAnsi="Arial" w:cs="Arial"/>
          <w:sz w:val="21"/>
          <w:szCs w:val="21"/>
        </w:rPr>
        <w:t xml:space="preserve">sia </w:t>
      </w:r>
      <w:r w:rsidR="007961C4" w:rsidRPr="00C4222E">
        <w:rPr>
          <w:rFonts w:ascii="Arial" w:hAnsi="Arial" w:cs="Arial"/>
          <w:sz w:val="21"/>
          <w:szCs w:val="21"/>
        </w:rPr>
        <w:t xml:space="preserve">quelli dei prodotti ad alta frequenza d’acquisto </w:t>
      </w:r>
      <w:r w:rsidR="007961C4">
        <w:rPr>
          <w:rFonts w:ascii="Arial" w:hAnsi="Arial" w:cs="Arial"/>
          <w:sz w:val="21"/>
          <w:szCs w:val="21"/>
        </w:rPr>
        <w:t>(da +4,0% a +4,3%)</w:t>
      </w:r>
      <w:r w:rsidR="007961C4" w:rsidRPr="00C4222E">
        <w:rPr>
          <w:rFonts w:ascii="Arial" w:hAnsi="Arial" w:cs="Arial"/>
          <w:sz w:val="21"/>
          <w:szCs w:val="21"/>
        </w:rPr>
        <w:t>.</w:t>
      </w:r>
    </w:p>
    <w:p w:rsidR="0065571D" w:rsidRPr="00FC5E9D" w:rsidRDefault="0065571D" w:rsidP="0065571D">
      <w:pPr>
        <w:pStyle w:val="Paragrafoelenco"/>
        <w:widowControl/>
        <w:numPr>
          <w:ilvl w:val="0"/>
          <w:numId w:val="12"/>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F91EBE">
        <w:rPr>
          <w:rFonts w:ascii="Arial" w:hAnsi="Arial" w:cs="Arial"/>
          <w:iCs/>
          <w:sz w:val="21"/>
          <w:szCs w:val="21"/>
        </w:rPr>
        <w:t>L’indice</w:t>
      </w:r>
      <w:r w:rsidRPr="00F91EBE">
        <w:rPr>
          <w:rFonts w:ascii="Arial" w:hAnsi="Arial" w:cs="Arial"/>
          <w:sz w:val="21"/>
          <w:szCs w:val="21"/>
        </w:rPr>
        <w:t xml:space="preserve"> armonizzato dei prezzi al consumo (IPCA) </w:t>
      </w:r>
      <w:r w:rsidRPr="00CA3E1A">
        <w:rPr>
          <w:rFonts w:ascii="Arial" w:hAnsi="Arial" w:cs="Arial"/>
          <w:sz w:val="21"/>
          <w:szCs w:val="21"/>
        </w:rPr>
        <w:t>registra un</w:t>
      </w:r>
      <w:r>
        <w:rPr>
          <w:rFonts w:ascii="Arial" w:hAnsi="Arial" w:cs="Arial"/>
          <w:sz w:val="21"/>
          <w:szCs w:val="21"/>
        </w:rPr>
        <w:t>a variazione congiunturale nulla</w:t>
      </w:r>
      <w:r w:rsidRPr="00FC1229">
        <w:rPr>
          <w:rFonts w:ascii="Arial" w:hAnsi="Arial" w:cs="Arial"/>
          <w:sz w:val="21"/>
          <w:szCs w:val="21"/>
        </w:rPr>
        <w:t xml:space="preserve"> e </w:t>
      </w:r>
      <w:r>
        <w:rPr>
          <w:rFonts w:ascii="Arial" w:hAnsi="Arial" w:cs="Arial"/>
          <w:sz w:val="21"/>
          <w:szCs w:val="21"/>
        </w:rPr>
        <w:t>un aumento del 5,1</w:t>
      </w:r>
      <w:r w:rsidRPr="00FC1229">
        <w:rPr>
          <w:rFonts w:ascii="Arial" w:hAnsi="Arial" w:cs="Arial"/>
          <w:sz w:val="21"/>
          <w:szCs w:val="21"/>
        </w:rPr>
        <w:t xml:space="preserve">% su base annua (da +4,2% di </w:t>
      </w:r>
      <w:r>
        <w:rPr>
          <w:rFonts w:ascii="Arial" w:hAnsi="Arial" w:cs="Arial"/>
          <w:sz w:val="21"/>
          <w:szCs w:val="21"/>
        </w:rPr>
        <w:t xml:space="preserve">dicembre); </w:t>
      </w:r>
      <w:r w:rsidRPr="00FC5E9D">
        <w:rPr>
          <w:rFonts w:ascii="Arial" w:hAnsi="Arial" w:cs="Arial"/>
          <w:sz w:val="21"/>
          <w:szCs w:val="21"/>
        </w:rPr>
        <w:t>la stima preliminare era +</w:t>
      </w:r>
      <w:r>
        <w:rPr>
          <w:rFonts w:ascii="Arial" w:hAnsi="Arial" w:cs="Arial"/>
          <w:sz w:val="21"/>
          <w:szCs w:val="21"/>
        </w:rPr>
        <w:t>5,3</w:t>
      </w:r>
      <w:r w:rsidRPr="00FC5E9D">
        <w:rPr>
          <w:rFonts w:ascii="Arial" w:hAnsi="Arial" w:cs="Arial"/>
          <w:sz w:val="21"/>
          <w:szCs w:val="21"/>
        </w:rPr>
        <w:t>%</w:t>
      </w:r>
      <w:r w:rsidRPr="00CA3E1A">
        <w:rPr>
          <w:rFonts w:ascii="Arial" w:hAnsi="Arial" w:cs="Arial"/>
          <w:sz w:val="21"/>
          <w:szCs w:val="21"/>
        </w:rPr>
        <w:t>.</w:t>
      </w:r>
      <w:r>
        <w:rPr>
          <w:rFonts w:ascii="Arial" w:hAnsi="Arial" w:cs="Arial"/>
          <w:sz w:val="21"/>
          <w:szCs w:val="21"/>
        </w:rPr>
        <w:t xml:space="preserve"> La variazione su base mensile nulla, a differenza di quella del NIC, si deve all’avvio dei </w:t>
      </w:r>
      <w:r w:rsidRPr="00FC1229">
        <w:rPr>
          <w:rFonts w:ascii="Arial" w:hAnsi="Arial" w:cs="Arial"/>
          <w:sz w:val="21"/>
          <w:szCs w:val="21"/>
        </w:rPr>
        <w:t>saldi invernali dell’abbigliame</w:t>
      </w:r>
      <w:r>
        <w:rPr>
          <w:rFonts w:ascii="Arial" w:hAnsi="Arial" w:cs="Arial"/>
          <w:sz w:val="21"/>
          <w:szCs w:val="21"/>
        </w:rPr>
        <w:t>nto e calzature, di cui il</w:t>
      </w:r>
      <w:r w:rsidRPr="00FC1229">
        <w:rPr>
          <w:rFonts w:ascii="Arial" w:hAnsi="Arial" w:cs="Arial"/>
          <w:sz w:val="21"/>
          <w:szCs w:val="21"/>
        </w:rPr>
        <w:t xml:space="preserve"> NIC non tiene conto, </w:t>
      </w:r>
      <w:r>
        <w:rPr>
          <w:rFonts w:ascii="Arial" w:hAnsi="Arial" w:cs="Arial"/>
          <w:sz w:val="21"/>
          <w:szCs w:val="21"/>
        </w:rPr>
        <w:t>che determinano una flessione dei prezzi di questo comparto merceologico pari a -21,5%</w:t>
      </w:r>
      <w:r w:rsidRPr="00FC1229">
        <w:rPr>
          <w:rFonts w:ascii="Arial" w:hAnsi="Arial" w:cs="Arial"/>
          <w:sz w:val="21"/>
          <w:szCs w:val="21"/>
        </w:rPr>
        <w:t>.</w:t>
      </w:r>
    </w:p>
    <w:p w:rsidR="00BA2932" w:rsidRPr="00FC5E9D" w:rsidRDefault="00BA2932" w:rsidP="00BB7180">
      <w:pPr>
        <w:pStyle w:val="Paragrafoelenco"/>
        <w:widowControl/>
        <w:numPr>
          <w:ilvl w:val="0"/>
          <w:numId w:val="5"/>
        </w:numPr>
        <w:tabs>
          <w:tab w:val="left" w:pos="10206"/>
        </w:tabs>
        <w:overflowPunct/>
        <w:autoSpaceDE/>
        <w:autoSpaceDN/>
        <w:adjustRightInd/>
        <w:spacing w:before="0" w:line="230" w:lineRule="exact"/>
        <w:contextualSpacing w:val="0"/>
        <w:jc w:val="both"/>
        <w:rPr>
          <w:rFonts w:ascii="Arial" w:hAnsi="Arial" w:cs="Arial"/>
          <w:b/>
          <w:sz w:val="21"/>
          <w:szCs w:val="21"/>
        </w:rPr>
      </w:pPr>
      <w:r w:rsidRPr="00FC5E9D">
        <w:rPr>
          <w:rFonts w:ascii="Arial" w:hAnsi="Arial" w:cs="Arial"/>
          <w:iCs/>
          <w:sz w:val="21"/>
          <w:szCs w:val="21"/>
        </w:rPr>
        <w:t xml:space="preserve">L’indice nazionale dei prezzi al consumo per le famiglie di operai e impiegati (FOI), al netto dei tabacchi, </w:t>
      </w:r>
      <w:r w:rsidRPr="00FC5E9D">
        <w:rPr>
          <w:rFonts w:ascii="Arial" w:hAnsi="Arial" w:cs="Arial"/>
          <w:sz w:val="21"/>
          <w:szCs w:val="21"/>
        </w:rPr>
        <w:t xml:space="preserve">registra </w:t>
      </w:r>
      <w:r w:rsidR="00FC5E9D">
        <w:rPr>
          <w:rFonts w:ascii="Arial" w:hAnsi="Arial" w:cs="Arial"/>
          <w:sz w:val="21"/>
          <w:szCs w:val="21"/>
        </w:rPr>
        <w:t>un</w:t>
      </w:r>
      <w:r w:rsidR="000101FB">
        <w:rPr>
          <w:rFonts w:ascii="Arial" w:hAnsi="Arial" w:cs="Arial"/>
          <w:sz w:val="21"/>
          <w:szCs w:val="21"/>
        </w:rPr>
        <w:t xml:space="preserve"> </w:t>
      </w:r>
      <w:r w:rsidR="00FC5E9D" w:rsidRPr="00C0472F">
        <w:rPr>
          <w:rFonts w:ascii="Arial" w:hAnsi="Arial" w:cs="Arial"/>
          <w:sz w:val="21"/>
          <w:szCs w:val="21"/>
        </w:rPr>
        <w:t>a</w:t>
      </w:r>
      <w:r w:rsidR="00E83DCA">
        <w:rPr>
          <w:rFonts w:ascii="Arial" w:hAnsi="Arial" w:cs="Arial"/>
          <w:sz w:val="21"/>
          <w:szCs w:val="21"/>
        </w:rPr>
        <w:t>umento dell’1,4</w:t>
      </w:r>
      <w:r w:rsidR="00FC5E9D" w:rsidRPr="00C0472F">
        <w:rPr>
          <w:rFonts w:ascii="Arial" w:hAnsi="Arial" w:cs="Arial"/>
          <w:sz w:val="21"/>
          <w:szCs w:val="21"/>
        </w:rPr>
        <w:t>% s</w:t>
      </w:r>
      <w:r w:rsidRPr="00C0472F">
        <w:rPr>
          <w:rFonts w:ascii="Arial" w:hAnsi="Arial" w:cs="Arial"/>
          <w:sz w:val="21"/>
          <w:szCs w:val="21"/>
        </w:rPr>
        <w:t>u base mensile e del</w:t>
      </w:r>
      <w:r w:rsidR="00FC5E9D" w:rsidRPr="00C0472F">
        <w:rPr>
          <w:rFonts w:ascii="Arial" w:hAnsi="Arial" w:cs="Arial"/>
          <w:sz w:val="21"/>
          <w:szCs w:val="21"/>
        </w:rPr>
        <w:t xml:space="preserve"> </w:t>
      </w:r>
      <w:r w:rsidR="00E83DCA">
        <w:rPr>
          <w:rFonts w:ascii="Arial" w:hAnsi="Arial" w:cs="Arial"/>
          <w:sz w:val="21"/>
          <w:szCs w:val="21"/>
        </w:rPr>
        <w:t>4,7</w:t>
      </w:r>
      <w:r w:rsidRPr="00FC5E9D">
        <w:rPr>
          <w:rFonts w:ascii="Arial" w:hAnsi="Arial" w:cs="Arial"/>
          <w:sz w:val="21"/>
          <w:szCs w:val="21"/>
        </w:rPr>
        <w:t>% su base annua</w:t>
      </w:r>
      <w:r w:rsidRPr="00FC5E9D">
        <w:rPr>
          <w:rFonts w:ascii="Arial" w:hAnsi="Arial" w:cs="Arial"/>
          <w:iCs/>
          <w:sz w:val="21"/>
          <w:szCs w:val="21"/>
        </w:rPr>
        <w:t>.</w:t>
      </w:r>
    </w:p>
    <w:p w:rsidR="004D7B0F" w:rsidRPr="00957753" w:rsidRDefault="004D7B0F" w:rsidP="001B3436">
      <w:pPr>
        <w:widowControl/>
        <w:overflowPunct/>
        <w:autoSpaceDE/>
        <w:autoSpaceDN/>
        <w:adjustRightInd/>
        <w:spacing w:before="0" w:after="0" w:line="230" w:lineRule="exact"/>
        <w:ind w:left="357"/>
        <w:jc w:val="both"/>
      </w:pPr>
      <w:r>
        <w:rPr>
          <w:noProof/>
        </w:rPr>
        <w:drawing>
          <wp:anchor distT="0" distB="0" distL="114300" distR="114300" simplePos="0" relativeHeight="251663872" behindDoc="0" locked="0" layoutInCell="1" allowOverlap="1" wp14:anchorId="7255B023" wp14:editId="5C5333F0">
            <wp:simplePos x="0" y="0"/>
            <wp:positionH relativeFrom="column">
              <wp:posOffset>5989320</wp:posOffset>
            </wp:positionH>
            <wp:positionV relativeFrom="paragraph">
              <wp:posOffset>44450</wp:posOffset>
            </wp:positionV>
            <wp:extent cx="657225" cy="638175"/>
            <wp:effectExtent l="0" t="0" r="9525" b="9525"/>
            <wp:wrapNone/>
            <wp:docPr id="46" name="Immagine 46"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AE52C3" w:rsidRPr="002578CE" w:rsidTr="00FD2832">
        <w:trPr>
          <w:trHeight w:val="115"/>
        </w:trPr>
        <w:tc>
          <w:tcPr>
            <w:tcW w:w="6924" w:type="dxa"/>
            <w:vMerge w:val="restart"/>
            <w:tcBorders>
              <w:top w:val="nil"/>
              <w:left w:val="single" w:sz="4" w:space="0" w:color="FFFFFF"/>
              <w:right w:val="single" w:sz="48" w:space="0" w:color="FFFFFF"/>
            </w:tcBorders>
            <w:shd w:val="clear" w:color="auto" w:fill="D9D9D9"/>
          </w:tcPr>
          <w:p w:rsidR="00AE52C3" w:rsidRDefault="001B3436" w:rsidP="00AE52C3">
            <w:pPr>
              <w:pStyle w:val="Paragrafobase"/>
              <w:spacing w:before="120" w:line="140" w:lineRule="atLeast"/>
              <w:rPr>
                <w:rFonts w:ascii="Calibri" w:hAnsi="Calibri" w:cs="Arial"/>
                <w:color w:val="E31C18"/>
                <w:sz w:val="56"/>
                <w:szCs w:val="56"/>
              </w:rPr>
            </w:pPr>
            <w:r>
              <w:rPr>
                <w:rFonts w:ascii="Arial" w:hAnsi="Arial" w:cs="Arial"/>
                <w:noProof/>
                <w:sz w:val="22"/>
                <w:szCs w:val="22"/>
              </w:rPr>
              <w:drawing>
                <wp:anchor distT="0" distB="0" distL="114300" distR="114300" simplePos="0" relativeHeight="251662848" behindDoc="0" locked="0" layoutInCell="1" allowOverlap="1" wp14:anchorId="799F16BC" wp14:editId="673834FD">
                  <wp:simplePos x="0" y="0"/>
                  <wp:positionH relativeFrom="column">
                    <wp:posOffset>-351155</wp:posOffset>
                  </wp:positionH>
                  <wp:positionV relativeFrom="paragraph">
                    <wp:posOffset>-106680</wp:posOffset>
                  </wp:positionV>
                  <wp:extent cx="920750" cy="92075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00AE52C3" w:rsidRPr="00957753">
              <w:rPr>
                <w:rFonts w:ascii="Arial" w:hAnsi="Arial" w:cs="Arial"/>
                <w:sz w:val="22"/>
                <w:szCs w:val="22"/>
              </w:rPr>
              <w:t xml:space="preserve">                  </w:t>
            </w:r>
            <w:r w:rsidR="00AE52C3">
              <w:rPr>
                <w:rFonts w:ascii="Calibri" w:hAnsi="Calibri" w:cs="Arial"/>
                <w:color w:val="E31C18"/>
                <w:sz w:val="56"/>
                <w:szCs w:val="56"/>
              </w:rPr>
              <w:t>Il commento</w:t>
            </w:r>
          </w:p>
          <w:p w:rsidR="00BC4C26" w:rsidRDefault="00BC4C26" w:rsidP="00BC4C26">
            <w:pPr>
              <w:pStyle w:val="Paragrafobase"/>
              <w:tabs>
                <w:tab w:val="left" w:pos="6526"/>
              </w:tabs>
              <w:spacing w:line="260" w:lineRule="exact"/>
              <w:ind w:left="142" w:right="176"/>
              <w:jc w:val="both"/>
              <w:rPr>
                <w:rFonts w:ascii="Arial" w:hAnsi="Arial" w:cs="Arial"/>
                <w:sz w:val="21"/>
                <w:szCs w:val="21"/>
              </w:rPr>
            </w:pPr>
          </w:p>
          <w:p w:rsidR="004E3A18" w:rsidRDefault="004E3A18" w:rsidP="00BC4C26">
            <w:pPr>
              <w:pStyle w:val="Paragrafobase"/>
              <w:tabs>
                <w:tab w:val="left" w:pos="6526"/>
              </w:tabs>
              <w:spacing w:line="260" w:lineRule="exact"/>
              <w:ind w:left="142" w:right="176"/>
              <w:jc w:val="both"/>
              <w:rPr>
                <w:rFonts w:ascii="Arial" w:hAnsi="Arial" w:cs="Arial"/>
                <w:sz w:val="21"/>
                <w:szCs w:val="21"/>
              </w:rPr>
            </w:pPr>
          </w:p>
          <w:p w:rsidR="00A60E40" w:rsidRPr="002578CE" w:rsidRDefault="008F2167" w:rsidP="007B0CA3">
            <w:pPr>
              <w:pStyle w:val="Paragrafobase"/>
              <w:tabs>
                <w:tab w:val="left" w:pos="6526"/>
              </w:tabs>
              <w:spacing w:after="120" w:line="260" w:lineRule="exact"/>
              <w:ind w:left="142" w:right="176"/>
              <w:jc w:val="both"/>
              <w:rPr>
                <w:rFonts w:ascii="Arial" w:hAnsi="Arial" w:cs="Arial"/>
                <w:sz w:val="21"/>
                <w:szCs w:val="21"/>
              </w:rPr>
            </w:pPr>
            <w:r>
              <w:rPr>
                <w:rFonts w:ascii="Arial" w:hAnsi="Arial" w:cs="Arial"/>
                <w:sz w:val="21"/>
                <w:szCs w:val="21"/>
              </w:rPr>
              <w:t>L’inflazione a gennaio registra una forte accelerazion</w:t>
            </w:r>
            <w:r w:rsidR="00E83DCA">
              <w:rPr>
                <w:rFonts w:ascii="Arial" w:hAnsi="Arial" w:cs="Arial"/>
                <w:sz w:val="21"/>
                <w:szCs w:val="21"/>
              </w:rPr>
              <w:t xml:space="preserve">e, raggiungendo un </w:t>
            </w:r>
            <w:r w:rsidR="00E83DCA" w:rsidRPr="001F3E5A">
              <w:rPr>
                <w:rFonts w:ascii="Arial" w:hAnsi="Arial" w:cs="Arial"/>
                <w:sz w:val="21"/>
                <w:szCs w:val="21"/>
              </w:rPr>
              <w:t xml:space="preserve">livello </w:t>
            </w:r>
            <w:r w:rsidR="001F3E5A" w:rsidRPr="001F3E5A">
              <w:rPr>
                <w:rFonts w:ascii="Arial" w:hAnsi="Arial" w:cs="Arial"/>
                <w:sz w:val="21"/>
                <w:szCs w:val="21"/>
              </w:rPr>
              <w:t>(+4,8</w:t>
            </w:r>
            <w:r w:rsidRPr="001F3E5A">
              <w:rPr>
                <w:rFonts w:ascii="Arial" w:hAnsi="Arial" w:cs="Arial"/>
                <w:sz w:val="21"/>
                <w:szCs w:val="21"/>
              </w:rPr>
              <w:t>%) che non si registrava da aprile 1996, quando il NIC registrò la medesima variazione tendenziale.</w:t>
            </w:r>
            <w:r>
              <w:rPr>
                <w:rFonts w:ascii="Arial" w:hAnsi="Arial" w:cs="Arial"/>
                <w:sz w:val="21"/>
                <w:szCs w:val="21"/>
              </w:rPr>
              <w:t xml:space="preserve"> I Beni energetici regolamentati trainano questa fiammata con una crescita su base annua mai registrata, ma tensioni inflazionistiche crescenti si manifestano anche in altri comparti merceologici. Ciononostante, la componente di fondo, al netto di energetici e alimentari freschi conferma il dato di dicembre grazie anche al rallentamento dei prezzi dei Servizi relativi ai trasporti</w:t>
            </w:r>
            <w:r w:rsidR="001F3E5A">
              <w:rPr>
                <w:rFonts w:ascii="Arial" w:hAnsi="Arial" w:cs="Arial"/>
                <w:sz w:val="21"/>
                <w:szCs w:val="21"/>
              </w:rPr>
              <w:t>,</w:t>
            </w:r>
            <w:r>
              <w:rPr>
                <w:rFonts w:ascii="Arial" w:hAnsi="Arial" w:cs="Arial"/>
                <w:sz w:val="21"/>
                <w:szCs w:val="21"/>
              </w:rPr>
              <w:t xml:space="preserve"> i cui andamenti tendenziali sono ancora condizionati dalle limitazioni alla mobilità dovute alla pandemia.</w:t>
            </w:r>
          </w:p>
        </w:tc>
        <w:tc>
          <w:tcPr>
            <w:tcW w:w="3282" w:type="dxa"/>
            <w:tcBorders>
              <w:top w:val="nil"/>
              <w:left w:val="single" w:sz="48" w:space="0" w:color="FFFFFF"/>
              <w:bottom w:val="single" w:sz="36" w:space="0" w:color="FFFFFF"/>
              <w:right w:val="single" w:sz="36" w:space="0" w:color="FFFFFF"/>
            </w:tcBorders>
            <w:shd w:val="clear" w:color="auto" w:fill="E31C18"/>
          </w:tcPr>
          <w:p w:rsidR="00AE52C3" w:rsidRPr="00AC2483" w:rsidRDefault="00AE52C3" w:rsidP="00AE52C3">
            <w:pPr>
              <w:pStyle w:val="Paragrafobase"/>
              <w:spacing w:before="12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rsidR="00AE52C3" w:rsidRDefault="00AE52C3" w:rsidP="00AE52C3">
            <w:pPr>
              <w:pStyle w:val="Paragrafobase"/>
              <w:spacing w:line="320" w:lineRule="exact"/>
              <w:ind w:left="176"/>
              <w:rPr>
                <w:rFonts w:ascii="Calibri" w:hAnsi="Calibri" w:cs="Arial"/>
                <w:b/>
                <w:color w:val="FFFFFF"/>
                <w:sz w:val="28"/>
                <w:szCs w:val="28"/>
              </w:rPr>
            </w:pPr>
            <w:r w:rsidRPr="00AC2483">
              <w:rPr>
                <w:rFonts w:ascii="Calibri" w:hAnsi="Calibri" w:cs="Arial"/>
                <w:b/>
                <w:color w:val="FFFFFF"/>
                <w:sz w:val="28"/>
                <w:szCs w:val="28"/>
              </w:rPr>
              <w:t>DIFFUSIONE</w:t>
            </w:r>
          </w:p>
          <w:p w:rsidR="00AE52C3" w:rsidRPr="002578CE" w:rsidRDefault="005B7BD6" w:rsidP="00BE1487">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 marzo</w:t>
            </w:r>
            <w:r w:rsidR="00BE1487">
              <w:rPr>
                <w:rFonts w:ascii="Arial Narrow" w:hAnsi="Arial Narrow" w:cs="Arial"/>
                <w:color w:val="FFFFFF"/>
                <w:sz w:val="22"/>
                <w:szCs w:val="22"/>
              </w:rPr>
              <w:t xml:space="preserve"> 2022</w:t>
            </w:r>
          </w:p>
        </w:tc>
      </w:tr>
      <w:tr w:rsidR="00AE52C3" w:rsidRPr="00465EB9" w:rsidTr="0045012B">
        <w:trPr>
          <w:trHeight w:val="340"/>
        </w:trPr>
        <w:tc>
          <w:tcPr>
            <w:tcW w:w="6924" w:type="dxa"/>
            <w:vMerge/>
            <w:tcBorders>
              <w:left w:val="single" w:sz="4" w:space="0" w:color="FFFFFF"/>
              <w:right w:val="single" w:sz="48" w:space="0" w:color="FFFFFF"/>
            </w:tcBorders>
            <w:shd w:val="clear" w:color="auto" w:fill="D9D9D9"/>
          </w:tcPr>
          <w:p w:rsidR="00AE52C3" w:rsidRPr="002578CE" w:rsidRDefault="00AE52C3" w:rsidP="00AE52C3">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FFFFFF"/>
          </w:tcPr>
          <w:p w:rsidR="00AE52C3" w:rsidRPr="00465EB9" w:rsidRDefault="00AE52C3" w:rsidP="00AE52C3">
            <w:pPr>
              <w:pStyle w:val="Paragrafobase"/>
              <w:spacing w:line="240" w:lineRule="exact"/>
              <w:ind w:left="176"/>
              <w:rPr>
                <w:rFonts w:ascii="Arial" w:hAnsi="Arial" w:cs="Arial"/>
                <w:sz w:val="21"/>
                <w:szCs w:val="21"/>
                <w:lang w:val="en-US"/>
              </w:rPr>
            </w:pPr>
            <w:r>
              <w:rPr>
                <w:rFonts w:ascii="Arial" w:hAnsi="Arial" w:cs="Arial"/>
                <w:noProof/>
                <w:sz w:val="21"/>
                <w:szCs w:val="21"/>
              </w:rPr>
              <w:drawing>
                <wp:anchor distT="0" distB="0" distL="114300" distR="114300" simplePos="0" relativeHeight="251666944" behindDoc="0" locked="0" layoutInCell="1" allowOverlap="1" wp14:anchorId="605B6205" wp14:editId="2CCC53CD">
                  <wp:simplePos x="0" y="0"/>
                  <wp:positionH relativeFrom="column">
                    <wp:posOffset>1533525</wp:posOffset>
                  </wp:positionH>
                  <wp:positionV relativeFrom="paragraph">
                    <wp:posOffset>22225</wp:posOffset>
                  </wp:positionV>
                  <wp:extent cx="647700" cy="628650"/>
                  <wp:effectExtent l="0" t="0" r="0" b="0"/>
                  <wp:wrapNone/>
                  <wp:docPr id="49" name="Immagine 4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AE52C3" w:rsidRPr="0065571D" w:rsidTr="00FD2832">
        <w:trPr>
          <w:trHeight w:val="115"/>
        </w:trPr>
        <w:tc>
          <w:tcPr>
            <w:tcW w:w="6924" w:type="dxa"/>
            <w:vMerge/>
            <w:tcBorders>
              <w:left w:val="single" w:sz="4" w:space="0" w:color="FFFFFF"/>
              <w:bottom w:val="nil"/>
              <w:right w:val="single" w:sz="48" w:space="0" w:color="FFFFFF"/>
            </w:tcBorders>
            <w:shd w:val="clear" w:color="auto" w:fill="D9D9D9"/>
          </w:tcPr>
          <w:p w:rsidR="00AE52C3" w:rsidRPr="00465EB9" w:rsidRDefault="00AE52C3" w:rsidP="00AE52C3">
            <w:pPr>
              <w:widowControl/>
              <w:tabs>
                <w:tab w:val="left" w:pos="284"/>
                <w:tab w:val="left" w:pos="709"/>
              </w:tabs>
              <w:overflowPunct/>
              <w:autoSpaceDE/>
              <w:autoSpaceDN/>
              <w:adjustRightInd/>
              <w:spacing w:before="0" w:after="120" w:line="230" w:lineRule="exact"/>
              <w:jc w:val="both"/>
              <w:rPr>
                <w:rFonts w:ascii="Arial" w:hAnsi="Arial" w:cs="Arial"/>
                <w:sz w:val="21"/>
                <w:szCs w:val="21"/>
                <w:lang w:val="en-US"/>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31C18"/>
          </w:tcPr>
          <w:p w:rsidR="00AE52C3" w:rsidRPr="00465EB9" w:rsidRDefault="00AE52C3" w:rsidP="00AE52C3">
            <w:pPr>
              <w:pStyle w:val="Paragrafobase"/>
              <w:spacing w:before="120" w:line="320" w:lineRule="exact"/>
              <w:ind w:left="176"/>
              <w:rPr>
                <w:rFonts w:ascii="Calibri" w:hAnsi="Calibri" w:cs="Arial"/>
                <w:b/>
                <w:color w:val="FFFFFF"/>
                <w:sz w:val="28"/>
                <w:szCs w:val="28"/>
                <w:lang w:val="en-US"/>
              </w:rPr>
            </w:pPr>
            <w:r w:rsidRPr="00465EB9">
              <w:rPr>
                <w:rFonts w:ascii="Calibri" w:hAnsi="Calibri" w:cs="Arial"/>
                <w:b/>
                <w:color w:val="FFFFFF"/>
                <w:sz w:val="28"/>
                <w:szCs w:val="28"/>
                <w:lang w:val="en-US"/>
              </w:rPr>
              <w:t xml:space="preserve">Link </w:t>
            </w:r>
            <w:proofErr w:type="spellStart"/>
            <w:r w:rsidRPr="00465EB9">
              <w:rPr>
                <w:rFonts w:ascii="Calibri" w:hAnsi="Calibri" w:cs="Arial"/>
                <w:b/>
                <w:color w:val="FFFFFF"/>
                <w:sz w:val="28"/>
                <w:szCs w:val="28"/>
                <w:lang w:val="en-US"/>
              </w:rPr>
              <w:t>utili</w:t>
            </w:r>
            <w:proofErr w:type="spellEnd"/>
          </w:p>
          <w:p w:rsidR="00AE52C3" w:rsidRPr="004E5688" w:rsidRDefault="009B29AB" w:rsidP="00AE52C3">
            <w:pPr>
              <w:pStyle w:val="Paragrafobase"/>
              <w:spacing w:before="120" w:line="240" w:lineRule="exact"/>
              <w:ind w:left="176"/>
              <w:rPr>
                <w:rStyle w:val="Collegamentoipertestuale"/>
                <w:rFonts w:ascii="Arial Narrow" w:hAnsi="Arial Narrow" w:cs="Arial"/>
                <w:color w:val="FFFFFF"/>
                <w:sz w:val="22"/>
                <w:szCs w:val="22"/>
                <w:lang w:val="en-US"/>
              </w:rPr>
            </w:pPr>
            <w:hyperlink r:id="rId16" w:history="1">
              <w:r w:rsidR="00AE52C3" w:rsidRPr="004E5688">
                <w:rPr>
                  <w:rStyle w:val="Collegamentoipertestuale"/>
                  <w:rFonts w:ascii="Arial Narrow" w:hAnsi="Arial Narrow" w:cs="Arial"/>
                  <w:color w:val="FFFFFF"/>
                  <w:sz w:val="22"/>
                  <w:szCs w:val="22"/>
                  <w:lang w:val="en-US"/>
                </w:rPr>
                <w:t>http://dati.istat.it/</w:t>
              </w:r>
            </w:hyperlink>
          </w:p>
          <w:p w:rsidR="00AE52C3" w:rsidRDefault="009B29AB" w:rsidP="00AE52C3">
            <w:pPr>
              <w:pStyle w:val="Paragrafobase"/>
              <w:spacing w:before="120" w:line="240" w:lineRule="exact"/>
              <w:ind w:left="176"/>
              <w:rPr>
                <w:rStyle w:val="Collegamentoipertestuale"/>
                <w:rFonts w:ascii="Arial Narrow" w:hAnsi="Arial Narrow" w:cs="Arial"/>
                <w:color w:val="FFFFFF"/>
                <w:sz w:val="22"/>
                <w:szCs w:val="22"/>
                <w:lang w:val="en-US"/>
              </w:rPr>
            </w:pPr>
            <w:hyperlink r:id="rId17" w:history="1">
              <w:r w:rsidR="00AE52C3" w:rsidRPr="004E5688">
                <w:rPr>
                  <w:rStyle w:val="Collegamentoipertestuale"/>
                  <w:rFonts w:ascii="Arial Narrow" w:hAnsi="Arial Narrow" w:cs="Arial"/>
                  <w:color w:val="FFFFFF"/>
                  <w:sz w:val="22"/>
                  <w:szCs w:val="22"/>
                  <w:lang w:val="en-US"/>
                </w:rPr>
                <w:t>http://www.istat.it/it/congiuntura</w:t>
              </w:r>
            </w:hyperlink>
          </w:p>
          <w:p w:rsidR="00AE52C3" w:rsidRPr="004018F1" w:rsidRDefault="00AE52C3" w:rsidP="00AE52C3">
            <w:pPr>
              <w:pStyle w:val="Paragrafobase"/>
              <w:spacing w:before="120" w:after="120" w:line="240" w:lineRule="exact"/>
              <w:ind w:left="176"/>
              <w:rPr>
                <w:rFonts w:ascii="Arial Narrow" w:hAnsi="Arial Narrow" w:cs="Arial"/>
                <w:sz w:val="22"/>
                <w:szCs w:val="22"/>
                <w:u w:val="single"/>
                <w:lang w:val="en-US"/>
              </w:rPr>
            </w:pPr>
            <w:r w:rsidRPr="004018F1">
              <w:rPr>
                <w:rFonts w:ascii="Arial Narrow" w:hAnsi="Arial Narrow" w:cs="Arial"/>
                <w:color w:val="FFFFFF" w:themeColor="background1"/>
                <w:sz w:val="22"/>
                <w:szCs w:val="22"/>
                <w:u w:val="single"/>
                <w:lang w:val="en-US"/>
              </w:rPr>
              <w:t>http://rivaluta.istat.it/Rivaluta/</w:t>
            </w:r>
          </w:p>
        </w:tc>
      </w:tr>
    </w:tbl>
    <w:p w:rsidR="00576F67" w:rsidRPr="00957753" w:rsidRDefault="00576F67" w:rsidP="00C60596">
      <w:pPr>
        <w:pStyle w:val="Paragrafoelenco"/>
        <w:widowControl/>
        <w:numPr>
          <w:ilvl w:val="0"/>
          <w:numId w:val="5"/>
        </w:numPr>
        <w:tabs>
          <w:tab w:val="left" w:pos="10206"/>
        </w:tabs>
        <w:overflowPunct/>
        <w:autoSpaceDE/>
        <w:autoSpaceDN/>
        <w:adjustRightInd/>
        <w:spacing w:before="0" w:after="0" w:line="140" w:lineRule="exact"/>
        <w:ind w:left="357" w:hanging="357"/>
        <w:contextualSpacing w:val="0"/>
        <w:jc w:val="both"/>
        <w:rPr>
          <w:rFonts w:ascii="Arial" w:hAnsi="Arial" w:cs="Arial"/>
          <w:b/>
          <w:sz w:val="8"/>
          <w:szCs w:val="8"/>
          <w:lang w:val="en-US"/>
        </w:rPr>
        <w:sectPr w:rsidR="00576F67" w:rsidRPr="00957753" w:rsidSect="00DD3536">
          <w:headerReference w:type="default" r:id="rId18"/>
          <w:headerReference w:type="first" r:id="rId19"/>
          <w:pgSz w:w="11907" w:h="16840" w:code="9"/>
          <w:pgMar w:top="2238" w:right="851" w:bottom="680" w:left="851" w:header="567" w:footer="204" w:gutter="0"/>
          <w:cols w:space="720"/>
          <w:noEndnote/>
          <w:docGrid w:linePitch="272"/>
        </w:sectPr>
      </w:pPr>
    </w:p>
    <w:p w:rsidR="00487AB9" w:rsidRPr="00957753" w:rsidRDefault="00487AB9" w:rsidP="008D4068">
      <w:pPr>
        <w:pStyle w:val="001TitoGra"/>
        <w:spacing w:after="120" w:line="240" w:lineRule="auto"/>
        <w:rPr>
          <w:rFonts w:cs="Calibri"/>
          <w:bCs/>
          <w:color w:val="auto"/>
          <w:kern w:val="0"/>
          <w:lang w:val="en-US"/>
        </w:rPr>
      </w:pPr>
    </w:p>
    <w:p w:rsidR="00E273E3" w:rsidRPr="00C8504B" w:rsidRDefault="001033EA" w:rsidP="001033EA">
      <w:pPr>
        <w:pStyle w:val="001TitoGra"/>
        <w:rPr>
          <w:rFonts w:ascii="Arial" w:hAnsi="Arial"/>
          <w:b w:val="0"/>
          <w:color w:val="auto"/>
          <w:sz w:val="21"/>
          <w:szCs w:val="21"/>
        </w:rPr>
      </w:pPr>
      <w:r w:rsidRPr="00C8504B">
        <w:rPr>
          <w:rFonts w:cs="Calibri"/>
          <w:bCs/>
          <w:color w:val="FF0000"/>
          <w:kern w:val="0"/>
        </w:rPr>
        <w:t>FIGURA 1.</w:t>
      </w:r>
      <w:r w:rsidRPr="00C8504B">
        <w:rPr>
          <w:rFonts w:cs="Calibri"/>
          <w:bCs/>
          <w:kern w:val="0"/>
        </w:rPr>
        <w:t xml:space="preserve"> </w:t>
      </w:r>
      <w:r w:rsidR="00DA7A68" w:rsidRPr="00C8504B">
        <w:rPr>
          <w:rFonts w:cs="Calibri"/>
          <w:bCs/>
          <w:kern w:val="0"/>
        </w:rPr>
        <w:t>INDICI DEI PREZZI AL CONSUMO NIC</w:t>
      </w:r>
      <w:r w:rsidRPr="00C8504B">
        <w:rPr>
          <w:rFonts w:cs="Calibri"/>
          <w:bCs/>
          <w:color w:val="808080"/>
          <w:kern w:val="0"/>
        </w:rPr>
        <w:t xml:space="preserve"> </w:t>
      </w:r>
    </w:p>
    <w:p w:rsidR="001033EA" w:rsidRPr="00C8504B" w:rsidRDefault="005B7BD6" w:rsidP="00CB0759">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 </w:t>
      </w:r>
      <w:r w:rsidR="001F3E5A">
        <w:rPr>
          <w:b w:val="0"/>
          <w:sz w:val="20"/>
          <w:szCs w:val="20"/>
        </w:rPr>
        <w:t>gennaio</w:t>
      </w:r>
      <w:r w:rsidR="00141DAE" w:rsidRPr="00141DAE">
        <w:rPr>
          <w:b w:val="0"/>
          <w:sz w:val="20"/>
          <w:szCs w:val="20"/>
        </w:rPr>
        <w:t xml:space="preserve"> 202</w:t>
      </w:r>
      <w:r>
        <w:rPr>
          <w:b w:val="0"/>
          <w:sz w:val="20"/>
          <w:szCs w:val="20"/>
        </w:rPr>
        <w:t>2</w:t>
      </w:r>
      <w:r w:rsidR="002A1B8C" w:rsidRPr="00C8504B">
        <w:rPr>
          <w:rFonts w:cs="Calibri"/>
          <w:b w:val="0"/>
          <w:kern w:val="0"/>
          <w:sz w:val="20"/>
          <w:szCs w:val="20"/>
        </w:rPr>
        <w:t>, variazioni percentuali congiunturali e tendenziali</w:t>
      </w:r>
      <w:r w:rsidR="0047143B" w:rsidRPr="00C8504B">
        <w:rPr>
          <w:rFonts w:cs="Calibri"/>
          <w:b w:val="0"/>
          <w:kern w:val="0"/>
          <w:sz w:val="20"/>
          <w:szCs w:val="20"/>
        </w:rPr>
        <w:t xml:space="preserve"> (base 2015=100)</w:t>
      </w:r>
    </w:p>
    <w:p w:rsidR="008D4068" w:rsidRPr="00C8504B" w:rsidRDefault="001F3E5A" w:rsidP="005E34B4">
      <w:pPr>
        <w:pStyle w:val="001TitoGra"/>
        <w:spacing w:after="120" w:line="240" w:lineRule="auto"/>
      </w:pPr>
      <w:r>
        <w:rPr>
          <w:noProof/>
        </w:rPr>
        <w:drawing>
          <wp:inline distT="0" distB="0" distL="0" distR="0" wp14:anchorId="7E25615C">
            <wp:extent cx="6480810" cy="324358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3243580"/>
                    </a:xfrm>
                    <a:prstGeom prst="rect">
                      <a:avLst/>
                    </a:prstGeom>
                    <a:noFill/>
                  </pic:spPr>
                </pic:pic>
              </a:graphicData>
            </a:graphic>
          </wp:inline>
        </w:drawing>
      </w:r>
    </w:p>
    <w:p w:rsidR="00377B2E" w:rsidRDefault="00377B2E" w:rsidP="00377B2E">
      <w:pPr>
        <w:pStyle w:val="001TitoGra"/>
        <w:spacing w:after="120" w:line="240" w:lineRule="auto"/>
        <w:rPr>
          <w:rFonts w:cs="Calibri"/>
          <w:bCs/>
          <w:color w:val="auto"/>
          <w:kern w:val="0"/>
        </w:rPr>
      </w:pPr>
    </w:p>
    <w:p w:rsidR="00487AB9" w:rsidRDefault="00487AB9" w:rsidP="00377B2E">
      <w:pPr>
        <w:pStyle w:val="001TitoGra"/>
        <w:spacing w:after="120" w:line="240" w:lineRule="auto"/>
        <w:rPr>
          <w:rFonts w:cs="Calibri"/>
          <w:bCs/>
          <w:color w:val="auto"/>
          <w:kern w:val="0"/>
        </w:rPr>
      </w:pPr>
    </w:p>
    <w:p w:rsidR="00743FF0" w:rsidRPr="00C8504B" w:rsidRDefault="00743FF0" w:rsidP="00377B2E">
      <w:pPr>
        <w:pStyle w:val="001TitoGra"/>
        <w:spacing w:after="120" w:line="240" w:lineRule="auto"/>
        <w:rPr>
          <w:rFonts w:cs="Calibri"/>
          <w:bCs/>
          <w:color w:val="auto"/>
          <w:kern w:val="0"/>
        </w:rPr>
      </w:pPr>
    </w:p>
    <w:p w:rsidR="005E34B4" w:rsidRPr="00C8504B" w:rsidRDefault="005E34B4" w:rsidP="005E34B4">
      <w:pPr>
        <w:pStyle w:val="001TitoGra"/>
        <w:spacing w:line="240" w:lineRule="auto"/>
      </w:pPr>
      <w:r w:rsidRPr="00C8504B">
        <w:rPr>
          <w:color w:val="E42618"/>
        </w:rPr>
        <w:t>PROSPETTO 1</w:t>
      </w:r>
      <w:r w:rsidRPr="00C8504B">
        <w:rPr>
          <w:color w:val="D90B13"/>
        </w:rPr>
        <w:t>.</w:t>
      </w:r>
      <w:r w:rsidRPr="00C8504B">
        <w:t xml:space="preserve"> </w:t>
      </w:r>
      <w:r w:rsidRPr="00C8504B">
        <w:rPr>
          <w:rFonts w:cs="Calibri"/>
          <w:bCs/>
          <w:kern w:val="0"/>
        </w:rPr>
        <w:t>INDICI DEI PREZZI AL CONSUMO NIC</w:t>
      </w:r>
      <w:r w:rsidR="00384595" w:rsidRPr="00C8504B">
        <w:rPr>
          <w:rFonts w:cs="Calibri"/>
          <w:bCs/>
          <w:kern w:val="0"/>
        </w:rPr>
        <w:t>,</w:t>
      </w:r>
      <w:r w:rsidRPr="00C8504B">
        <w:rPr>
          <w:rFonts w:cs="Calibri"/>
          <w:bCs/>
          <w:kern w:val="0"/>
        </w:rPr>
        <w:t xml:space="preserve"> IPCA</w:t>
      </w:r>
      <w:r w:rsidR="00384595" w:rsidRPr="00C8504B">
        <w:rPr>
          <w:rFonts w:cs="Calibri"/>
          <w:bCs/>
          <w:kern w:val="0"/>
        </w:rPr>
        <w:t xml:space="preserve"> E FOI</w:t>
      </w:r>
    </w:p>
    <w:p w:rsidR="005E34B4" w:rsidRDefault="005B7BD6" w:rsidP="005E34B4">
      <w:pPr>
        <w:pStyle w:val="001TitoGra"/>
        <w:spacing w:after="120" w:line="240" w:lineRule="auto"/>
        <w:rPr>
          <w:b w:val="0"/>
          <w:sz w:val="20"/>
          <w:szCs w:val="20"/>
        </w:rPr>
      </w:pPr>
      <w:r>
        <w:rPr>
          <w:b w:val="0"/>
          <w:sz w:val="20"/>
          <w:szCs w:val="20"/>
        </w:rPr>
        <w:t>Gennaio</w:t>
      </w:r>
      <w:r w:rsidR="00B15377" w:rsidRPr="00B15377">
        <w:rPr>
          <w:b w:val="0"/>
          <w:sz w:val="20"/>
          <w:szCs w:val="20"/>
        </w:rPr>
        <w:t xml:space="preserve"> </w:t>
      </w:r>
      <w:r>
        <w:rPr>
          <w:b w:val="0"/>
          <w:sz w:val="20"/>
          <w:szCs w:val="20"/>
        </w:rPr>
        <w:t>2022</w:t>
      </w:r>
      <w:r w:rsidR="005F6217" w:rsidRPr="00C8504B">
        <w:rPr>
          <w:b w:val="0"/>
          <w:sz w:val="20"/>
          <w:szCs w:val="20"/>
        </w:rPr>
        <w:t>, i</w:t>
      </w:r>
      <w:r w:rsidR="005E34B4" w:rsidRPr="00C8504B">
        <w:rPr>
          <w:b w:val="0"/>
          <w:sz w:val="20"/>
          <w:szCs w:val="20"/>
        </w:rPr>
        <w:t>ndici e variazioni percentu</w:t>
      </w:r>
      <w:r w:rsidR="005F6217" w:rsidRPr="00C8504B">
        <w:rPr>
          <w:b w:val="0"/>
          <w:sz w:val="20"/>
          <w:szCs w:val="20"/>
        </w:rPr>
        <w:t>ali congiunturali e tendenziali</w:t>
      </w:r>
      <w:r w:rsidR="005E34B4" w:rsidRPr="00C8504B">
        <w:rPr>
          <w:b w:val="0"/>
          <w:sz w:val="20"/>
          <w:szCs w:val="20"/>
        </w:rPr>
        <w:t xml:space="preserve"> (base 2015=100)</w:t>
      </w:r>
    </w:p>
    <w:tbl>
      <w:tblPr>
        <w:tblW w:w="10206"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599"/>
        <w:gridCol w:w="1869"/>
        <w:gridCol w:w="1869"/>
        <w:gridCol w:w="1869"/>
      </w:tblGrid>
      <w:tr w:rsidR="00073BDC" w:rsidRPr="00C8504B" w:rsidTr="00073BDC">
        <w:trPr>
          <w:trHeight w:val="255"/>
          <w:jc w:val="center"/>
        </w:trPr>
        <w:tc>
          <w:tcPr>
            <w:tcW w:w="4599" w:type="dxa"/>
            <w:vMerge w:val="restart"/>
            <w:vAlign w:val="center"/>
          </w:tcPr>
          <w:p w:rsidR="00073BDC" w:rsidRPr="00C8504B" w:rsidRDefault="00073BDC" w:rsidP="00073BDC">
            <w:pPr>
              <w:tabs>
                <w:tab w:val="left" w:pos="5093"/>
              </w:tabs>
              <w:spacing w:before="40" w:after="20"/>
              <w:ind w:left="-57"/>
              <w:jc w:val="center"/>
              <w:rPr>
                <w:rFonts w:ascii="Arial Narrow" w:hAnsi="Arial Narrow" w:cs="Arial"/>
                <w:b/>
                <w:bCs/>
                <w:sz w:val="18"/>
                <w:szCs w:val="18"/>
              </w:rPr>
            </w:pP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napToGrid w:val="0"/>
                <w:sz w:val="18"/>
                <w:szCs w:val="18"/>
              </w:rPr>
              <w:t>Indici</w:t>
            </w:r>
          </w:p>
        </w:tc>
        <w:tc>
          <w:tcPr>
            <w:tcW w:w="1869" w:type="dxa"/>
            <w:shd w:val="clear" w:color="auto" w:fill="auto"/>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tendenziali</w:t>
            </w:r>
          </w:p>
        </w:tc>
      </w:tr>
      <w:tr w:rsidR="001A4296" w:rsidRPr="00C8504B" w:rsidTr="00073BDC">
        <w:trPr>
          <w:trHeight w:val="255"/>
          <w:jc w:val="center"/>
        </w:trPr>
        <w:tc>
          <w:tcPr>
            <w:tcW w:w="4599" w:type="dxa"/>
            <w:vMerge/>
            <w:vAlign w:val="center"/>
          </w:tcPr>
          <w:p w:rsidR="001A4296" w:rsidRPr="00C8504B" w:rsidRDefault="001A4296" w:rsidP="001A4296">
            <w:pPr>
              <w:tabs>
                <w:tab w:val="left" w:pos="5093"/>
              </w:tabs>
              <w:spacing w:before="40" w:after="20"/>
              <w:ind w:left="-57"/>
              <w:rPr>
                <w:rFonts w:ascii="Arial Narrow" w:hAnsi="Arial Narrow" w:cs="Arial"/>
                <w:b/>
                <w:bCs/>
                <w:sz w:val="18"/>
                <w:szCs w:val="18"/>
              </w:rPr>
            </w:pPr>
          </w:p>
        </w:tc>
        <w:tc>
          <w:tcPr>
            <w:tcW w:w="1869" w:type="dxa"/>
            <w:shd w:val="clear" w:color="auto" w:fill="auto"/>
            <w:vAlign w:val="center"/>
          </w:tcPr>
          <w:p w:rsidR="001A4296" w:rsidRDefault="005B7BD6" w:rsidP="001A4296">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gennaio</w:t>
            </w:r>
          </w:p>
          <w:p w:rsidR="001A4296" w:rsidRPr="00C8504B" w:rsidRDefault="001A4296" w:rsidP="001A4296">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w:t>
            </w:r>
            <w:r w:rsidR="005B7BD6">
              <w:rPr>
                <w:rFonts w:ascii="Arial Narrow" w:hAnsi="Arial Narrow" w:cs="Arial"/>
                <w:bCs/>
                <w:snapToGrid w:val="0"/>
                <w:sz w:val="18"/>
                <w:szCs w:val="18"/>
              </w:rPr>
              <w:t>2</w:t>
            </w:r>
          </w:p>
        </w:tc>
        <w:tc>
          <w:tcPr>
            <w:tcW w:w="1869" w:type="dxa"/>
            <w:shd w:val="clear" w:color="auto" w:fill="auto"/>
            <w:vAlign w:val="center"/>
          </w:tcPr>
          <w:p w:rsidR="001A4296" w:rsidRDefault="005B7BD6" w:rsidP="001A4296">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1A4296" w:rsidRPr="00E03E58" w:rsidRDefault="005B7BD6" w:rsidP="001A4296">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dic</w:t>
            </w:r>
            <w:r w:rsidR="001A4296">
              <w:rPr>
                <w:rFonts w:ascii="Arial Narrow" w:hAnsi="Arial Narrow" w:cs="Arial"/>
                <w:kern w:val="0"/>
                <w:sz w:val="18"/>
                <w:szCs w:val="18"/>
              </w:rPr>
              <w:t>-21</w:t>
            </w:r>
          </w:p>
        </w:tc>
        <w:tc>
          <w:tcPr>
            <w:tcW w:w="1869" w:type="dxa"/>
            <w:shd w:val="clear" w:color="auto" w:fill="auto"/>
            <w:vAlign w:val="center"/>
          </w:tcPr>
          <w:p w:rsidR="001A4296" w:rsidRDefault="005B7BD6" w:rsidP="001A4296">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1A4296" w:rsidRPr="00EF00E1" w:rsidRDefault="00873EA2" w:rsidP="001A4296">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gen</w:t>
            </w:r>
            <w:r w:rsidR="001A4296">
              <w:rPr>
                <w:rFonts w:ascii="Arial Narrow" w:hAnsi="Arial Narrow" w:cs="Arial"/>
                <w:kern w:val="0"/>
                <w:sz w:val="18"/>
                <w:szCs w:val="18"/>
              </w:rPr>
              <w:t>-2</w:t>
            </w:r>
            <w:r w:rsidR="005B7BD6">
              <w:rPr>
                <w:rFonts w:ascii="Arial Narrow" w:hAnsi="Arial Narrow" w:cs="Arial"/>
                <w:kern w:val="0"/>
                <w:sz w:val="18"/>
                <w:szCs w:val="18"/>
              </w:rPr>
              <w:t>1</w:t>
            </w:r>
          </w:p>
        </w:tc>
      </w:tr>
      <w:tr w:rsidR="001F3E5A" w:rsidRPr="00C8504B" w:rsidTr="001F3E5A">
        <w:trPr>
          <w:trHeight w:val="255"/>
          <w:jc w:val="center"/>
        </w:trPr>
        <w:tc>
          <w:tcPr>
            <w:tcW w:w="4599" w:type="dxa"/>
            <w:vAlign w:val="center"/>
          </w:tcPr>
          <w:p w:rsidR="001F3E5A" w:rsidRPr="00C8504B" w:rsidRDefault="001F3E5A" w:rsidP="001F3E5A">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nazionale per l’intera collettività NIC </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108,3</w:t>
            </w:r>
          </w:p>
        </w:tc>
        <w:tc>
          <w:tcPr>
            <w:tcW w:w="1869" w:type="dxa"/>
            <w:shd w:val="clear" w:color="auto" w:fill="FFFFFF" w:themeFill="background1"/>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+1,6</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+4,8</w:t>
            </w:r>
          </w:p>
        </w:tc>
      </w:tr>
      <w:tr w:rsidR="001F3E5A" w:rsidRPr="00C8504B" w:rsidTr="001F3E5A">
        <w:trPr>
          <w:trHeight w:val="255"/>
          <w:jc w:val="center"/>
        </w:trPr>
        <w:tc>
          <w:tcPr>
            <w:tcW w:w="4599" w:type="dxa"/>
            <w:vAlign w:val="center"/>
          </w:tcPr>
          <w:p w:rsidR="001F3E5A" w:rsidRPr="00C8504B" w:rsidRDefault="001F3E5A" w:rsidP="001F3E5A">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armonizzato IPCA </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107,8</w:t>
            </w:r>
          </w:p>
        </w:tc>
        <w:tc>
          <w:tcPr>
            <w:tcW w:w="1869" w:type="dxa"/>
            <w:shd w:val="clear" w:color="auto" w:fill="FFFFFF" w:themeFill="background1"/>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0,0</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+5,1</w:t>
            </w:r>
          </w:p>
        </w:tc>
      </w:tr>
      <w:tr w:rsidR="001F3E5A" w:rsidRPr="00C8504B" w:rsidTr="001F3E5A">
        <w:trPr>
          <w:trHeight w:val="255"/>
          <w:jc w:val="center"/>
        </w:trPr>
        <w:tc>
          <w:tcPr>
            <w:tcW w:w="4599" w:type="dxa"/>
            <w:vAlign w:val="center"/>
          </w:tcPr>
          <w:p w:rsidR="001F3E5A" w:rsidRPr="00C8504B" w:rsidRDefault="001F3E5A" w:rsidP="001F3E5A">
            <w:pPr>
              <w:tabs>
                <w:tab w:val="left" w:pos="5093"/>
              </w:tabs>
              <w:spacing w:before="40" w:after="20"/>
              <w:ind w:left="-57"/>
              <w:rPr>
                <w:rFonts w:ascii="Arial Narrow" w:hAnsi="Arial Narrow" w:cs="Arial"/>
                <w:bCs/>
                <w:snapToGrid w:val="0"/>
                <w:sz w:val="18"/>
                <w:szCs w:val="18"/>
              </w:rPr>
            </w:pPr>
            <w:r w:rsidRPr="00C8504B">
              <w:rPr>
                <w:rFonts w:ascii="Arial Narrow" w:hAnsi="Arial Narrow" w:cs="Arial"/>
                <w:bCs/>
                <w:snapToGrid w:val="0"/>
                <w:sz w:val="18"/>
                <w:szCs w:val="18"/>
              </w:rPr>
              <w:t>Indice per le famiglie di operai e impiegati FOI (senza tabacchi)</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107,7</w:t>
            </w:r>
          </w:p>
        </w:tc>
        <w:tc>
          <w:tcPr>
            <w:tcW w:w="1869" w:type="dxa"/>
            <w:shd w:val="clear" w:color="auto" w:fill="FFFFFF" w:themeFill="background1"/>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+1,4</w:t>
            </w:r>
          </w:p>
        </w:tc>
        <w:tc>
          <w:tcPr>
            <w:tcW w:w="1869" w:type="dxa"/>
            <w:shd w:val="clear" w:color="auto" w:fill="D9D9D9"/>
            <w:vAlign w:val="center"/>
          </w:tcPr>
          <w:p w:rsidR="001F3E5A" w:rsidRPr="001F3E5A" w:rsidRDefault="001F3E5A" w:rsidP="001F3E5A">
            <w:pPr>
              <w:tabs>
                <w:tab w:val="left" w:pos="5093"/>
              </w:tabs>
              <w:spacing w:before="40" w:after="20"/>
              <w:ind w:left="-57"/>
              <w:jc w:val="right"/>
              <w:rPr>
                <w:rFonts w:ascii="Arial Narrow" w:hAnsi="Arial Narrow" w:cs="Arial"/>
                <w:bCs/>
                <w:snapToGrid w:val="0"/>
                <w:sz w:val="18"/>
                <w:szCs w:val="18"/>
              </w:rPr>
            </w:pPr>
            <w:r w:rsidRPr="001F3E5A">
              <w:rPr>
                <w:rFonts w:ascii="Arial Narrow" w:hAnsi="Arial Narrow" w:cs="Arial"/>
                <w:bCs/>
                <w:snapToGrid w:val="0"/>
                <w:sz w:val="18"/>
                <w:szCs w:val="18"/>
              </w:rPr>
              <w:t>+4,7</w:t>
            </w:r>
          </w:p>
        </w:tc>
      </w:tr>
    </w:tbl>
    <w:p w:rsidR="001033EA" w:rsidRPr="00C8504B" w:rsidRDefault="001033EA" w:rsidP="00A235C2">
      <w:pPr>
        <w:pStyle w:val="001TitoGra"/>
        <w:spacing w:line="240" w:lineRule="auto"/>
        <w:rPr>
          <w:rFonts w:cs="Calibri"/>
          <w:b w:val="0"/>
          <w:kern w:val="0"/>
        </w:rPr>
      </w:pPr>
    </w:p>
    <w:p w:rsidR="00DD056D" w:rsidRPr="00C8504B" w:rsidRDefault="00DD056D" w:rsidP="00A235C2">
      <w:pPr>
        <w:pStyle w:val="001TitoGra"/>
        <w:spacing w:line="240" w:lineRule="auto"/>
        <w:rPr>
          <w:rFonts w:cs="Calibri"/>
          <w:b w:val="0"/>
          <w:kern w:val="0"/>
        </w:rPr>
        <w:sectPr w:rsidR="00DD056D" w:rsidRPr="00C8504B" w:rsidSect="000161B7">
          <w:headerReference w:type="default" r:id="rId21"/>
          <w:footerReference w:type="default" r:id="rId22"/>
          <w:footerReference w:type="first" r:id="rId23"/>
          <w:pgSz w:w="11907" w:h="16840" w:code="9"/>
          <w:pgMar w:top="1534" w:right="851" w:bottom="680" w:left="851" w:header="567" w:footer="567" w:gutter="0"/>
          <w:cols w:space="720"/>
          <w:noEndnote/>
          <w:titlePg/>
          <w:docGrid w:linePitch="272"/>
        </w:sectPr>
      </w:pPr>
    </w:p>
    <w:p w:rsidR="00D1705F" w:rsidRPr="005B6887" w:rsidRDefault="00D1705F" w:rsidP="00D1705F">
      <w:pPr>
        <w:tabs>
          <w:tab w:val="left" w:pos="851"/>
          <w:tab w:val="left" w:pos="9639"/>
        </w:tabs>
        <w:spacing w:before="0" w:after="120"/>
        <w:jc w:val="both"/>
        <w:rPr>
          <w:rFonts w:ascii="Arial" w:hAnsi="Arial" w:cs="Arial"/>
          <w:iCs/>
          <w:sz w:val="16"/>
          <w:szCs w:val="21"/>
        </w:rPr>
      </w:pPr>
    </w:p>
    <w:p w:rsidR="00C423DB" w:rsidRPr="00C8504B" w:rsidRDefault="00C423DB" w:rsidP="002A44B4">
      <w:pPr>
        <w:pStyle w:val="00TitoGra1"/>
        <w:spacing w:line="240" w:lineRule="auto"/>
        <w:rPr>
          <w:color w:val="E42618"/>
          <w:szCs w:val="36"/>
        </w:rPr>
      </w:pPr>
      <w:r w:rsidRPr="00C8504B">
        <w:rPr>
          <w:color w:val="E42618"/>
          <w:szCs w:val="36"/>
        </w:rPr>
        <w:t>Indice nazionale dei prezzi al consumo per l’intera collettività (</w:t>
      </w:r>
      <w:r w:rsidR="00AF0B21" w:rsidRPr="00C8504B">
        <w:rPr>
          <w:color w:val="E42618"/>
          <w:szCs w:val="36"/>
        </w:rPr>
        <w:t>NIC</w:t>
      </w:r>
      <w:r w:rsidRPr="00C8504B">
        <w:rPr>
          <w:color w:val="E42618"/>
          <w:szCs w:val="36"/>
        </w:rPr>
        <w:t>)</w:t>
      </w:r>
      <w:r w:rsidRPr="00C8504B">
        <w:rPr>
          <w:color w:val="E42618"/>
          <w:szCs w:val="36"/>
        </w:rPr>
        <w:tab/>
      </w:r>
    </w:p>
    <w:p w:rsidR="00D1705F" w:rsidRPr="00D1705F" w:rsidRDefault="00D1705F" w:rsidP="00D1705F">
      <w:pPr>
        <w:tabs>
          <w:tab w:val="left" w:pos="851"/>
          <w:tab w:val="left" w:pos="9639"/>
        </w:tabs>
        <w:spacing w:before="0" w:after="120"/>
        <w:jc w:val="both"/>
        <w:rPr>
          <w:rFonts w:ascii="Arial" w:hAnsi="Arial" w:cs="Arial"/>
          <w:iCs/>
          <w:sz w:val="10"/>
          <w:szCs w:val="21"/>
        </w:rPr>
      </w:pPr>
    </w:p>
    <w:p w:rsidR="00C423DB" w:rsidRPr="00C8504B" w:rsidRDefault="00C423DB" w:rsidP="00BD0487">
      <w:pPr>
        <w:pStyle w:val="001TitoloBolocco"/>
        <w:spacing w:after="120" w:line="240" w:lineRule="auto"/>
      </w:pPr>
      <w:r w:rsidRPr="00C8504B">
        <w:t>Le divisioni di spesa</w:t>
      </w:r>
    </w:p>
    <w:p w:rsidR="002C59AC" w:rsidRDefault="002C59AC" w:rsidP="002C59AC">
      <w:pPr>
        <w:tabs>
          <w:tab w:val="left" w:pos="851"/>
          <w:tab w:val="left" w:pos="9639"/>
        </w:tabs>
        <w:spacing w:before="0" w:after="120"/>
        <w:jc w:val="both"/>
        <w:rPr>
          <w:rFonts w:ascii="Arial" w:hAnsi="Arial" w:cs="Arial"/>
          <w:iCs/>
          <w:sz w:val="21"/>
          <w:szCs w:val="21"/>
        </w:rPr>
      </w:pPr>
      <w:r>
        <w:rPr>
          <w:rFonts w:ascii="Arial" w:hAnsi="Arial" w:cs="Arial"/>
          <w:iCs/>
          <w:sz w:val="21"/>
          <w:szCs w:val="21"/>
        </w:rPr>
        <w:t>A gennaio l’accelerazione della crescita tendenziale dei prezzi al consumo si deve prevalentemente ai prezzi della divisione di spesa che includono i prodotti energetici regolamentati, ossia Abitazione, acqua, elettricità e combustibili (da +14,4% di dicembre a +22,7%</w:t>
      </w:r>
      <w:r w:rsidRPr="00BB67D7">
        <w:rPr>
          <w:rFonts w:ascii="Arial" w:hAnsi="Arial" w:cs="Arial"/>
          <w:iCs/>
          <w:sz w:val="21"/>
          <w:szCs w:val="21"/>
        </w:rPr>
        <w:t>)</w:t>
      </w:r>
      <w:r>
        <w:rPr>
          <w:rFonts w:ascii="Arial" w:hAnsi="Arial" w:cs="Arial"/>
          <w:iCs/>
          <w:sz w:val="21"/>
          <w:szCs w:val="21"/>
        </w:rPr>
        <w:t xml:space="preserve"> (Prospetto 2 e Figura 2). Accelerano, sebbene in misura minore, anche i prezzi dei </w:t>
      </w:r>
      <w:r w:rsidRPr="00594D50">
        <w:rPr>
          <w:rFonts w:ascii="Arial" w:hAnsi="Arial" w:cs="Arial"/>
          <w:iCs/>
          <w:sz w:val="21"/>
          <w:szCs w:val="21"/>
        </w:rPr>
        <w:t>Prodotti alimentari e bevande analcoliche</w:t>
      </w:r>
      <w:r>
        <w:rPr>
          <w:rFonts w:ascii="Arial" w:hAnsi="Arial" w:cs="Arial"/>
          <w:iCs/>
          <w:sz w:val="21"/>
          <w:szCs w:val="21"/>
        </w:rPr>
        <w:t xml:space="preserve"> (da +2,9% a +3,6%), quelli dei Mobi</w:t>
      </w:r>
      <w:r w:rsidRPr="00E83DCA">
        <w:rPr>
          <w:rFonts w:ascii="Arial" w:hAnsi="Arial" w:cs="Arial"/>
          <w:iCs/>
          <w:sz w:val="21"/>
          <w:szCs w:val="21"/>
        </w:rPr>
        <w:t>li, articoli e servizi per la casa</w:t>
      </w:r>
      <w:r>
        <w:rPr>
          <w:rFonts w:ascii="Arial" w:hAnsi="Arial" w:cs="Arial"/>
          <w:iCs/>
          <w:sz w:val="21"/>
          <w:szCs w:val="21"/>
        </w:rPr>
        <w:t xml:space="preserve"> (da +1,7% a +2,4%), di </w:t>
      </w:r>
      <w:r w:rsidRPr="00E83DCA">
        <w:rPr>
          <w:rFonts w:ascii="Arial" w:hAnsi="Arial" w:cs="Arial"/>
          <w:iCs/>
          <w:sz w:val="21"/>
          <w:szCs w:val="21"/>
        </w:rPr>
        <w:t>Ricreazione, spettacoli e cultura</w:t>
      </w:r>
      <w:r>
        <w:rPr>
          <w:rFonts w:ascii="Arial" w:hAnsi="Arial" w:cs="Arial"/>
          <w:iCs/>
          <w:sz w:val="21"/>
          <w:szCs w:val="21"/>
        </w:rPr>
        <w:t xml:space="preserve"> (da +0,1% a +1,2%) e dei Servizi ricettivi e di ristorazione (da +3,5% a +4,3%). Rallentano, invece, i prezzi dei </w:t>
      </w:r>
      <w:r w:rsidRPr="00DF1D2E">
        <w:rPr>
          <w:rFonts w:ascii="Arial" w:hAnsi="Arial" w:cs="Arial"/>
          <w:iCs/>
          <w:sz w:val="21"/>
          <w:szCs w:val="21"/>
        </w:rPr>
        <w:t xml:space="preserve">Trasporti </w:t>
      </w:r>
      <w:r>
        <w:rPr>
          <w:rFonts w:ascii="Arial" w:hAnsi="Arial" w:cs="Arial"/>
          <w:iCs/>
          <w:sz w:val="21"/>
          <w:szCs w:val="21"/>
        </w:rPr>
        <w:t xml:space="preserve">(da +9,6% a +7,8%), a causa dei </w:t>
      </w:r>
      <w:r w:rsidR="0052712B">
        <w:rPr>
          <w:rFonts w:ascii="Arial" w:hAnsi="Arial" w:cs="Arial"/>
          <w:iCs/>
          <w:sz w:val="21"/>
          <w:szCs w:val="21"/>
        </w:rPr>
        <w:t>S</w:t>
      </w:r>
      <w:r>
        <w:rPr>
          <w:rFonts w:ascii="Arial" w:hAnsi="Arial" w:cs="Arial"/>
          <w:iCs/>
          <w:sz w:val="21"/>
          <w:szCs w:val="21"/>
        </w:rPr>
        <w:t>ervizi relativi ai trasporti</w:t>
      </w:r>
      <w:r w:rsidR="0052712B">
        <w:rPr>
          <w:rFonts w:ascii="Arial" w:hAnsi="Arial" w:cs="Arial"/>
          <w:iCs/>
          <w:sz w:val="21"/>
          <w:szCs w:val="21"/>
        </w:rPr>
        <w:t>,</w:t>
      </w:r>
      <w:r>
        <w:rPr>
          <w:rFonts w:ascii="Arial" w:hAnsi="Arial" w:cs="Arial"/>
          <w:iCs/>
          <w:sz w:val="21"/>
          <w:szCs w:val="21"/>
        </w:rPr>
        <w:t xml:space="preserve"> e si amplia la flessione di quelli delle Comunicazioni (da -2,6% a -4,1%). </w:t>
      </w:r>
    </w:p>
    <w:p w:rsidR="002C59AC" w:rsidRDefault="002C59AC" w:rsidP="002C59AC">
      <w:pPr>
        <w:tabs>
          <w:tab w:val="left" w:pos="851"/>
          <w:tab w:val="left" w:pos="9639"/>
        </w:tabs>
        <w:spacing w:before="0" w:after="120"/>
        <w:jc w:val="both"/>
        <w:rPr>
          <w:rFonts w:ascii="Arial" w:hAnsi="Arial" w:cs="Arial"/>
          <w:iCs/>
          <w:sz w:val="21"/>
          <w:szCs w:val="21"/>
        </w:rPr>
      </w:pPr>
      <w:r>
        <w:rPr>
          <w:rFonts w:ascii="Arial" w:hAnsi="Arial" w:cs="Arial"/>
          <w:iCs/>
          <w:sz w:val="21"/>
          <w:szCs w:val="21"/>
        </w:rPr>
        <w:t>In termini di contributi, l</w:t>
      </w:r>
      <w:r w:rsidRPr="00BB67D7">
        <w:rPr>
          <w:rFonts w:ascii="Arial" w:hAnsi="Arial" w:cs="Arial"/>
          <w:iCs/>
          <w:sz w:val="21"/>
          <w:szCs w:val="21"/>
        </w:rPr>
        <w:t xml:space="preserve">’inflazione è </w:t>
      </w:r>
      <w:r>
        <w:rPr>
          <w:rFonts w:ascii="Arial" w:hAnsi="Arial" w:cs="Arial"/>
          <w:iCs/>
          <w:sz w:val="21"/>
          <w:szCs w:val="21"/>
        </w:rPr>
        <w:t xml:space="preserve">quindi </w:t>
      </w:r>
      <w:r w:rsidRPr="00BB67D7">
        <w:rPr>
          <w:rFonts w:ascii="Arial" w:hAnsi="Arial" w:cs="Arial"/>
          <w:iCs/>
          <w:sz w:val="21"/>
          <w:szCs w:val="21"/>
        </w:rPr>
        <w:t>dovuta</w:t>
      </w:r>
      <w:r>
        <w:rPr>
          <w:rFonts w:ascii="Arial" w:hAnsi="Arial" w:cs="Arial"/>
          <w:iCs/>
          <w:sz w:val="21"/>
          <w:szCs w:val="21"/>
        </w:rPr>
        <w:t xml:space="preserve"> principalmente ai prezzi di </w:t>
      </w:r>
      <w:r w:rsidRPr="002F3F09">
        <w:rPr>
          <w:rFonts w:ascii="Arial" w:hAnsi="Arial" w:cs="Arial"/>
          <w:iCs/>
          <w:sz w:val="21"/>
          <w:szCs w:val="21"/>
        </w:rPr>
        <w:t>Abitazione, acqua, elettricità e combustibili</w:t>
      </w:r>
      <w:r w:rsidRPr="002F3F09" w:rsidDel="002F3F09">
        <w:rPr>
          <w:rFonts w:ascii="Arial" w:hAnsi="Arial" w:cs="Arial"/>
          <w:iCs/>
          <w:sz w:val="21"/>
          <w:szCs w:val="21"/>
        </w:rPr>
        <w:t xml:space="preserve"> </w:t>
      </w:r>
      <w:r>
        <w:rPr>
          <w:rFonts w:ascii="Arial" w:hAnsi="Arial" w:cs="Arial"/>
          <w:iCs/>
          <w:sz w:val="21"/>
          <w:szCs w:val="21"/>
        </w:rPr>
        <w:t>(+2,447 punti percentuali) e, in misura mi</w:t>
      </w:r>
      <w:r w:rsidR="00924404">
        <w:rPr>
          <w:rFonts w:ascii="Arial" w:hAnsi="Arial" w:cs="Arial"/>
          <w:iCs/>
          <w:sz w:val="21"/>
          <w:szCs w:val="21"/>
        </w:rPr>
        <w:t>nore, dei Trasporti (+0,99</w:t>
      </w:r>
      <w:r>
        <w:rPr>
          <w:rFonts w:ascii="Arial" w:hAnsi="Arial" w:cs="Arial"/>
          <w:iCs/>
          <w:sz w:val="21"/>
          <w:szCs w:val="21"/>
        </w:rPr>
        <w:t xml:space="preserve">7), dei </w:t>
      </w:r>
      <w:r w:rsidRPr="00594D50">
        <w:rPr>
          <w:rFonts w:ascii="Arial" w:hAnsi="Arial" w:cs="Arial"/>
          <w:iCs/>
          <w:sz w:val="21"/>
          <w:szCs w:val="21"/>
        </w:rPr>
        <w:t>Prodotti alimentari e bevande analcoliche</w:t>
      </w:r>
      <w:r>
        <w:rPr>
          <w:rFonts w:ascii="Arial" w:hAnsi="Arial" w:cs="Arial"/>
          <w:iCs/>
          <w:sz w:val="21"/>
          <w:szCs w:val="21"/>
        </w:rPr>
        <w:t xml:space="preserve"> (+0,698) e dei Servizi ric</w:t>
      </w:r>
      <w:r w:rsidR="00924404">
        <w:rPr>
          <w:rFonts w:ascii="Arial" w:hAnsi="Arial" w:cs="Arial"/>
          <w:iCs/>
          <w:sz w:val="21"/>
          <w:szCs w:val="21"/>
        </w:rPr>
        <w:t>ettivi e di ristorazione (+0,379</w:t>
      </w:r>
      <w:r>
        <w:rPr>
          <w:rFonts w:ascii="Arial" w:hAnsi="Arial" w:cs="Arial"/>
          <w:iCs/>
          <w:sz w:val="21"/>
          <w:szCs w:val="21"/>
        </w:rPr>
        <w:t>). I</w:t>
      </w:r>
      <w:r w:rsidRPr="00BB67D7">
        <w:rPr>
          <w:rFonts w:ascii="Arial" w:hAnsi="Arial" w:cs="Arial"/>
          <w:iCs/>
          <w:sz w:val="21"/>
          <w:szCs w:val="21"/>
        </w:rPr>
        <w:t xml:space="preserve"> contr</w:t>
      </w:r>
      <w:r>
        <w:rPr>
          <w:rFonts w:ascii="Arial" w:hAnsi="Arial" w:cs="Arial"/>
          <w:iCs/>
          <w:sz w:val="21"/>
          <w:szCs w:val="21"/>
        </w:rPr>
        <w:t>ibuti negativi vengono dai prezzi delle Comunicazioni (-0,114) e dell’Istruzione (-0,005).</w:t>
      </w:r>
    </w:p>
    <w:p w:rsidR="00D1705F" w:rsidRDefault="00D1705F" w:rsidP="00D1705F">
      <w:pPr>
        <w:tabs>
          <w:tab w:val="left" w:pos="851"/>
          <w:tab w:val="left" w:pos="9639"/>
        </w:tabs>
        <w:spacing w:before="0" w:after="120"/>
        <w:jc w:val="both"/>
        <w:rPr>
          <w:rFonts w:ascii="Arial" w:hAnsi="Arial" w:cs="Arial"/>
          <w:iCs/>
          <w:sz w:val="21"/>
          <w:szCs w:val="21"/>
        </w:rPr>
      </w:pPr>
    </w:p>
    <w:p w:rsidR="00704407" w:rsidRDefault="005F50EA" w:rsidP="00704407">
      <w:pPr>
        <w:pStyle w:val="Corpotesto"/>
        <w:tabs>
          <w:tab w:val="left" w:pos="6237"/>
        </w:tabs>
        <w:spacing w:line="240" w:lineRule="exact"/>
        <w:jc w:val="both"/>
        <w:rPr>
          <w:rFonts w:ascii="Arial Narrow" w:hAnsi="Arial Narrow" w:cs="Calibri"/>
          <w:b/>
          <w:bCs/>
          <w:color w:val="5F5F5F"/>
          <w:kern w:val="0"/>
          <w:sz w:val="22"/>
          <w:szCs w:val="22"/>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2</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C423DB" w:rsidRPr="00C8504B">
        <w:rPr>
          <w:rFonts w:ascii="Arial Narrow" w:hAnsi="Arial Narrow" w:cs="Calibri"/>
          <w:b/>
          <w:bCs/>
          <w:color w:val="5F5F5F"/>
          <w:kern w:val="0"/>
          <w:sz w:val="22"/>
          <w:szCs w:val="22"/>
        </w:rPr>
        <w:t>I</w:t>
      </w:r>
      <w:r w:rsidR="00FA79D6" w:rsidRPr="00C8504B">
        <w:rPr>
          <w:rFonts w:ascii="Arial Narrow" w:hAnsi="Arial Narrow" w:cs="Calibri"/>
          <w:b/>
          <w:bCs/>
          <w:color w:val="5F5F5F"/>
          <w:kern w:val="0"/>
          <w:sz w:val="22"/>
          <w:szCs w:val="22"/>
        </w:rPr>
        <w:t>NDICI DEI PREZZI AL CONSUMO NIC</w:t>
      </w:r>
      <w:r w:rsidR="00C423DB" w:rsidRPr="00C8504B">
        <w:rPr>
          <w:rFonts w:ascii="Arial Narrow" w:hAnsi="Arial Narrow" w:cs="Calibri"/>
          <w:b/>
          <w:bCs/>
          <w:color w:val="5F5F5F"/>
          <w:kern w:val="0"/>
          <w:sz w:val="22"/>
          <w:szCs w:val="22"/>
        </w:rPr>
        <w:t xml:space="preserve"> PER DIVISIONE DI SPESA</w:t>
      </w:r>
      <w:r w:rsidR="00B359A0">
        <w:rPr>
          <w:rFonts w:ascii="Arial Narrow" w:hAnsi="Arial Narrow" w:cs="Calibri"/>
          <w:b/>
          <w:bCs/>
          <w:color w:val="5F5F5F"/>
          <w:kern w:val="0"/>
          <w:sz w:val="22"/>
          <w:szCs w:val="22"/>
        </w:rPr>
        <w:t xml:space="preserve">, </w:t>
      </w:r>
    </w:p>
    <w:p w:rsidR="00C423DB" w:rsidRPr="00C8504B" w:rsidRDefault="005B7BD6" w:rsidP="002B0DBA">
      <w:pPr>
        <w:pStyle w:val="Corpotesto"/>
        <w:tabs>
          <w:tab w:val="left" w:pos="6237"/>
        </w:tabs>
        <w:spacing w:after="60" w:line="240" w:lineRule="exact"/>
        <w:jc w:val="both"/>
        <w:rPr>
          <w:rFonts w:ascii="Arial Narrow" w:hAnsi="Arial Narrow" w:cs="Arial"/>
          <w:color w:val="5F5F5F"/>
        </w:rPr>
      </w:pPr>
      <w:r w:rsidRPr="005B7BD6">
        <w:rPr>
          <w:rFonts w:ascii="Arial Narrow" w:hAnsi="Arial Narrow" w:cs="Arial"/>
          <w:color w:val="5F5F5F"/>
        </w:rPr>
        <w:t>Gennaio 2022</w:t>
      </w:r>
      <w:r w:rsidR="003630E3" w:rsidRPr="00C8504B">
        <w:rPr>
          <w:rFonts w:ascii="Arial Narrow" w:hAnsi="Arial Narrow" w:cs="Arial"/>
          <w:color w:val="5F5F5F"/>
        </w:rPr>
        <w:t xml:space="preserve">, pesi, </w:t>
      </w:r>
      <w:r w:rsidR="002A44B4">
        <w:rPr>
          <w:rFonts w:ascii="Arial Narrow" w:hAnsi="Arial Narrow" w:cs="Arial"/>
          <w:color w:val="5F5F5F"/>
        </w:rPr>
        <w:t>variazioni perc</w:t>
      </w:r>
      <w:r w:rsidR="006C5F1A">
        <w:rPr>
          <w:rFonts w:ascii="Arial Narrow" w:hAnsi="Arial Narrow" w:cs="Arial"/>
          <w:color w:val="5F5F5F"/>
        </w:rPr>
        <w:t>entuali</w:t>
      </w:r>
      <w:r w:rsidR="0060323E" w:rsidRPr="00C8504B">
        <w:rPr>
          <w:rFonts w:ascii="Arial Narrow" w:hAnsi="Arial Narrow" w:cs="Arial"/>
          <w:color w:val="5F5F5F"/>
        </w:rPr>
        <w:t xml:space="preserve"> congiunturali e tendenziali (base 2015=100)</w:t>
      </w:r>
      <w:r w:rsidR="00A25192" w:rsidRPr="00C8504B">
        <w:rPr>
          <w:rFonts w:ascii="Arial Narrow" w:hAnsi="Arial Narrow" w:cs="Arial"/>
          <w:color w:val="5F5F5F"/>
        </w:rPr>
        <w:t xml:space="preserve"> e</w:t>
      </w:r>
      <w:r w:rsidR="003630E3" w:rsidRPr="00C8504B">
        <w:rPr>
          <w:rFonts w:ascii="Arial Narrow" w:hAnsi="Arial Narrow" w:cs="Arial"/>
          <w:color w:val="5F5F5F"/>
        </w:rPr>
        <w:t xml:space="preserve"> contributi</w:t>
      </w:r>
      <w:r w:rsidR="00A25192" w:rsidRPr="00C8504B">
        <w:rPr>
          <w:rFonts w:ascii="Arial Narrow" w:hAnsi="Arial Narrow" w:cs="Arial"/>
          <w:color w:val="5F5F5F"/>
        </w:rPr>
        <w:t xml:space="preserve"> </w:t>
      </w:r>
      <w:r w:rsidR="00C17464" w:rsidRPr="00C8504B">
        <w:rPr>
          <w:rFonts w:ascii="Arial Narrow" w:hAnsi="Arial Narrow" w:cs="Arial"/>
          <w:color w:val="5F5F5F"/>
        </w:rPr>
        <w:t xml:space="preserve">alla variazione </w:t>
      </w:r>
      <w:proofErr w:type="spellStart"/>
      <w:r w:rsidR="00C17464" w:rsidRPr="00C8504B">
        <w:rPr>
          <w:rFonts w:ascii="Arial Narrow" w:hAnsi="Arial Narrow" w:cs="Arial"/>
          <w:color w:val="5F5F5F"/>
        </w:rPr>
        <w:t>tend</w:t>
      </w:r>
      <w:proofErr w:type="spellEnd"/>
      <w:r w:rsidR="00704407">
        <w:rPr>
          <w:rFonts w:ascii="Arial Narrow" w:hAnsi="Arial Narrow" w:cs="Arial"/>
          <w:color w:val="5F5F5F"/>
        </w:rPr>
        <w:t>.</w:t>
      </w:r>
      <w:r w:rsidR="00C17464" w:rsidRPr="00C8504B">
        <w:rPr>
          <w:rFonts w:ascii="Arial Narrow" w:hAnsi="Arial Narrow" w:cs="Arial"/>
          <w:color w:val="5F5F5F"/>
        </w:rPr>
        <w:t xml:space="preserve"> dell’indice generale</w:t>
      </w:r>
    </w:p>
    <w:tbl>
      <w:tblPr>
        <w:tblW w:w="10348" w:type="dxa"/>
        <w:tblInd w:w="70" w:type="dxa"/>
        <w:tblBorders>
          <w:top w:val="single" w:sz="4" w:space="0" w:color="000000"/>
          <w:bottom w:val="single" w:sz="4" w:space="0" w:color="000000"/>
          <w:insideH w:val="single" w:sz="4" w:space="0" w:color="000000"/>
        </w:tblBorders>
        <w:tblCellMar>
          <w:left w:w="70" w:type="dxa"/>
          <w:right w:w="0" w:type="dxa"/>
        </w:tblCellMar>
        <w:tblLook w:val="0000" w:firstRow="0" w:lastRow="0" w:firstColumn="0" w:lastColumn="0" w:noHBand="0" w:noVBand="0"/>
      </w:tblPr>
      <w:tblGrid>
        <w:gridCol w:w="3119"/>
        <w:gridCol w:w="1018"/>
        <w:gridCol w:w="845"/>
        <w:gridCol w:w="972"/>
        <w:gridCol w:w="931"/>
        <w:gridCol w:w="931"/>
        <w:gridCol w:w="1540"/>
        <w:gridCol w:w="992"/>
      </w:tblGrid>
      <w:tr w:rsidR="00B15377" w:rsidRPr="00C8504B" w:rsidTr="0037471D">
        <w:trPr>
          <w:trHeight w:val="311"/>
        </w:trPr>
        <w:tc>
          <w:tcPr>
            <w:tcW w:w="3119" w:type="dxa"/>
            <w:vMerge w:val="restart"/>
            <w:vAlign w:val="center"/>
          </w:tcPr>
          <w:p w:rsidR="00B15377" w:rsidRPr="00C8504B" w:rsidRDefault="00B15377" w:rsidP="00B15377">
            <w:pPr>
              <w:spacing w:before="40" w:after="20"/>
              <w:rPr>
                <w:rFonts w:ascii="Arial Narrow" w:hAnsi="Arial Narrow" w:cs="Arial"/>
                <w:bCs/>
                <w:sz w:val="18"/>
                <w:szCs w:val="18"/>
              </w:rPr>
            </w:pPr>
            <w:bookmarkStart w:id="0" w:name="OLE_LINK2"/>
            <w:r w:rsidRPr="00C8504B">
              <w:rPr>
                <w:rFonts w:ascii="Arial Narrow" w:hAnsi="Arial Narrow" w:cs="Arial"/>
                <w:b/>
                <w:bCs/>
                <w:sz w:val="18"/>
                <w:szCs w:val="18"/>
              </w:rPr>
              <w:t>DIVISIONI DI SPESA</w:t>
            </w:r>
          </w:p>
        </w:tc>
        <w:tc>
          <w:tcPr>
            <w:tcW w:w="1018" w:type="dxa"/>
            <w:vMerge w:val="restart"/>
            <w:shd w:val="clear" w:color="auto" w:fill="D9D9D9"/>
            <w:vAlign w:val="center"/>
          </w:tcPr>
          <w:p w:rsidR="00B15377" w:rsidRPr="00C8504B" w:rsidRDefault="00B15377" w:rsidP="00B15377">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17" w:type="dxa"/>
            <w:gridSpan w:val="2"/>
            <w:vAlign w:val="center"/>
          </w:tcPr>
          <w:p w:rsidR="00B15377" w:rsidRPr="00C8504B" w:rsidRDefault="00B15377" w:rsidP="00B15377">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2" w:type="dxa"/>
            <w:gridSpan w:val="2"/>
            <w:shd w:val="clear" w:color="auto" w:fill="D9D9D9"/>
            <w:vAlign w:val="center"/>
          </w:tcPr>
          <w:p w:rsidR="00B15377" w:rsidRPr="00C8504B" w:rsidRDefault="00B15377" w:rsidP="00B15377">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540" w:type="dxa"/>
            <w:vMerge w:val="restart"/>
            <w:shd w:val="clear" w:color="auto" w:fill="auto"/>
            <w:vAlign w:val="center"/>
          </w:tcPr>
          <w:p w:rsidR="00B15377" w:rsidRPr="00C8504B" w:rsidRDefault="00B15377" w:rsidP="00B15377">
            <w:pPr>
              <w:tabs>
                <w:tab w:val="left" w:pos="5093"/>
              </w:tabs>
              <w:spacing w:before="40" w:after="20"/>
              <w:ind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r w:rsidRPr="00C8504B" w:rsidDel="00CB4E07">
              <w:rPr>
                <w:rFonts w:ascii="Arial Narrow" w:hAnsi="Arial Narrow" w:cs="Arial"/>
                <w:b/>
                <w:bCs/>
                <w:snapToGrid w:val="0"/>
                <w:sz w:val="18"/>
                <w:szCs w:val="18"/>
              </w:rPr>
              <w:t xml:space="preserve"> </w:t>
            </w:r>
          </w:p>
        </w:tc>
        <w:tc>
          <w:tcPr>
            <w:tcW w:w="992" w:type="dxa"/>
            <w:vMerge w:val="restart"/>
            <w:shd w:val="clear" w:color="auto" w:fill="D9D9D9"/>
            <w:vAlign w:val="center"/>
          </w:tcPr>
          <w:p w:rsidR="00B15377" w:rsidRPr="00C8504B" w:rsidRDefault="00873EA2" w:rsidP="009863ED">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gennaio</w:t>
            </w:r>
          </w:p>
        </w:tc>
      </w:tr>
      <w:tr w:rsidR="00993203" w:rsidRPr="00C8504B" w:rsidTr="003750EC">
        <w:trPr>
          <w:trHeight w:val="454"/>
        </w:trPr>
        <w:tc>
          <w:tcPr>
            <w:tcW w:w="3119" w:type="dxa"/>
            <w:vMerge/>
            <w:vAlign w:val="center"/>
          </w:tcPr>
          <w:p w:rsidR="00993203" w:rsidRPr="00C8504B" w:rsidRDefault="00993203" w:rsidP="00993203">
            <w:pPr>
              <w:spacing w:before="40" w:after="20"/>
              <w:rPr>
                <w:rFonts w:ascii="Arial Narrow" w:hAnsi="Arial Narrow" w:cs="Arial"/>
                <w:b/>
                <w:bCs/>
                <w:sz w:val="18"/>
                <w:szCs w:val="18"/>
              </w:rPr>
            </w:pPr>
          </w:p>
        </w:tc>
        <w:tc>
          <w:tcPr>
            <w:tcW w:w="1018"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c>
          <w:tcPr>
            <w:tcW w:w="845" w:type="dxa"/>
            <w:vAlign w:val="center"/>
          </w:tcPr>
          <w:p w:rsidR="00993203" w:rsidRDefault="00EA385D"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w:t>
            </w:r>
            <w:r w:rsidR="00993203">
              <w:rPr>
                <w:rFonts w:ascii="Arial Narrow" w:hAnsi="Arial Narrow" w:cs="Arial"/>
                <w:kern w:val="0"/>
                <w:sz w:val="18"/>
                <w:szCs w:val="18"/>
                <w:u w:val="single"/>
              </w:rPr>
              <w:t>-</w:t>
            </w:r>
            <w:r>
              <w:rPr>
                <w:rFonts w:ascii="Arial Narrow" w:hAnsi="Arial Narrow" w:cs="Arial"/>
                <w:kern w:val="0"/>
                <w:sz w:val="18"/>
                <w:szCs w:val="18"/>
                <w:u w:val="single"/>
              </w:rPr>
              <w:t>22</w:t>
            </w:r>
          </w:p>
          <w:p w:rsidR="00993203" w:rsidRPr="00E03E58" w:rsidRDefault="00EA385D" w:rsidP="00993203">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w:t>
            </w:r>
            <w:r w:rsidR="00993203">
              <w:rPr>
                <w:rFonts w:ascii="Arial Narrow" w:hAnsi="Arial Narrow" w:cs="Arial"/>
                <w:kern w:val="0"/>
                <w:sz w:val="18"/>
                <w:szCs w:val="18"/>
              </w:rPr>
              <w:t>-21</w:t>
            </w:r>
          </w:p>
        </w:tc>
        <w:tc>
          <w:tcPr>
            <w:tcW w:w="972" w:type="dxa"/>
            <w:vAlign w:val="center"/>
          </w:tcPr>
          <w:p w:rsidR="00993203" w:rsidRDefault="00EA385D"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993203" w:rsidRPr="008814F3" w:rsidRDefault="00EA385D"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w:t>
            </w:r>
            <w:r w:rsidR="00993203">
              <w:rPr>
                <w:rFonts w:ascii="Arial Narrow" w:hAnsi="Arial Narrow" w:cs="Arial"/>
                <w:kern w:val="0"/>
                <w:sz w:val="18"/>
                <w:szCs w:val="18"/>
              </w:rPr>
              <w:t>20</w:t>
            </w:r>
          </w:p>
        </w:tc>
        <w:tc>
          <w:tcPr>
            <w:tcW w:w="931" w:type="dxa"/>
            <w:shd w:val="clear" w:color="auto" w:fill="auto"/>
            <w:vAlign w:val="center"/>
          </w:tcPr>
          <w:p w:rsidR="00993203" w:rsidRDefault="00EA385D"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w:t>
            </w:r>
            <w:r w:rsidR="00993203">
              <w:rPr>
                <w:rFonts w:ascii="Arial Narrow" w:hAnsi="Arial Narrow" w:cs="Arial"/>
                <w:kern w:val="0"/>
                <w:sz w:val="18"/>
                <w:szCs w:val="18"/>
                <w:u w:val="single"/>
              </w:rPr>
              <w:t>-2</w:t>
            </w:r>
            <w:r>
              <w:rPr>
                <w:rFonts w:ascii="Arial Narrow" w:hAnsi="Arial Narrow" w:cs="Arial"/>
                <w:kern w:val="0"/>
                <w:sz w:val="18"/>
                <w:szCs w:val="18"/>
                <w:u w:val="single"/>
              </w:rPr>
              <w:t>2</w:t>
            </w:r>
          </w:p>
          <w:p w:rsidR="00993203" w:rsidRPr="008814F3" w:rsidRDefault="00EA385D"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w:t>
            </w:r>
            <w:r w:rsidR="00993203">
              <w:rPr>
                <w:rFonts w:ascii="Arial Narrow" w:hAnsi="Arial Narrow" w:cs="Arial"/>
                <w:kern w:val="0"/>
                <w:sz w:val="18"/>
                <w:szCs w:val="18"/>
              </w:rPr>
              <w:t>-2</w:t>
            </w:r>
            <w:r>
              <w:rPr>
                <w:rFonts w:ascii="Arial Narrow" w:hAnsi="Arial Narrow" w:cs="Arial"/>
                <w:kern w:val="0"/>
                <w:sz w:val="18"/>
                <w:szCs w:val="18"/>
              </w:rPr>
              <w:t>1</w:t>
            </w:r>
          </w:p>
        </w:tc>
        <w:tc>
          <w:tcPr>
            <w:tcW w:w="931" w:type="dxa"/>
            <w:shd w:val="clear" w:color="auto" w:fill="auto"/>
            <w:vAlign w:val="center"/>
          </w:tcPr>
          <w:p w:rsidR="009863ED" w:rsidRDefault="00EA385D" w:rsidP="009863E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w:t>
            </w:r>
            <w:r w:rsidR="009863ED">
              <w:rPr>
                <w:rFonts w:ascii="Arial Narrow" w:hAnsi="Arial Narrow" w:cs="Arial"/>
                <w:kern w:val="0"/>
                <w:sz w:val="18"/>
                <w:szCs w:val="18"/>
                <w:u w:val="single"/>
              </w:rPr>
              <w:t>-21</w:t>
            </w:r>
          </w:p>
          <w:p w:rsidR="00993203" w:rsidRPr="008814F3" w:rsidRDefault="00EA385D" w:rsidP="009863E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w:t>
            </w:r>
            <w:r w:rsidR="009863ED">
              <w:rPr>
                <w:rFonts w:ascii="Arial Narrow" w:hAnsi="Arial Narrow" w:cs="Arial"/>
                <w:kern w:val="0"/>
                <w:sz w:val="18"/>
                <w:szCs w:val="18"/>
              </w:rPr>
              <w:t>-20</w:t>
            </w:r>
          </w:p>
        </w:tc>
        <w:tc>
          <w:tcPr>
            <w:tcW w:w="1540" w:type="dxa"/>
            <w:vMerge/>
            <w:shd w:val="clear" w:color="auto" w:fill="auto"/>
          </w:tcPr>
          <w:p w:rsidR="00993203" w:rsidRPr="00C8504B" w:rsidRDefault="00993203" w:rsidP="00993203">
            <w:pPr>
              <w:spacing w:before="40" w:after="20"/>
              <w:ind w:right="57"/>
              <w:jc w:val="right"/>
              <w:rPr>
                <w:rFonts w:ascii="Arial Narrow" w:hAnsi="Arial Narrow" w:cs="Arial"/>
                <w:b/>
                <w:bCs/>
                <w:snapToGrid w:val="0"/>
                <w:sz w:val="18"/>
                <w:szCs w:val="18"/>
              </w:rPr>
            </w:pPr>
          </w:p>
        </w:tc>
        <w:tc>
          <w:tcPr>
            <w:tcW w:w="992"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183.676</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+1,4</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+0,7</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+3,6</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+2,9</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0,698</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+3,1</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34.038</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+1,0</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+1,0</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+0,2</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+0,2</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0,005</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+0,3</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63.855</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0,0</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0,0</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+0,6</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+0,6</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0,040</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+0,4</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109.684</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+9,0</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+1,6</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+22,7</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+14,4</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2,447</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+17,6</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Mobili, articoli e servizi per la casa</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79.950</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+1,0</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+0,3</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+2,4</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+1,7</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0,188</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+1,9</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Servizi sanitari e spese per la salute</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88.946</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+0,1</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+0,2</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+0,7</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+0,8</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0,060</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+0,3</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Trasporti</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144.843</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-0,4</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+1,3</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+7,8</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+9,6</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0,997</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+3,3</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Comunicazioni</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25.749</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-0,1</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+1,5</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-4,1</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-2,6</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-0,114</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-2,2</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70.540</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+0,5</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-0,6</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+1,2</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+0,1</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0,087</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+1,5</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Istruzione</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10.835</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0,0</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0,0</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-0,5</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-0,5</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-0,005</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-0,4</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93.754</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+1,5</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+0,7</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+4,3</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+3,5</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0,379</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+2,1</w:t>
            </w:r>
          </w:p>
        </w:tc>
      </w:tr>
      <w:tr w:rsidR="0052712B" w:rsidRPr="00C8504B" w:rsidTr="0052712B">
        <w:trPr>
          <w:trHeight w:val="255"/>
        </w:trPr>
        <w:tc>
          <w:tcPr>
            <w:tcW w:w="3119" w:type="dxa"/>
            <w:vAlign w:val="center"/>
          </w:tcPr>
          <w:p w:rsidR="0052712B" w:rsidRPr="00C8504B" w:rsidRDefault="0052712B" w:rsidP="0052712B">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1018"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94.130</w:t>
            </w:r>
          </w:p>
        </w:tc>
        <w:tc>
          <w:tcPr>
            <w:tcW w:w="845" w:type="dxa"/>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+0,3</w:t>
            </w:r>
          </w:p>
        </w:tc>
        <w:tc>
          <w:tcPr>
            <w:tcW w:w="97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+0,2</w:t>
            </w:r>
          </w:p>
        </w:tc>
        <w:tc>
          <w:tcPr>
            <w:tcW w:w="931" w:type="dxa"/>
            <w:shd w:val="clear" w:color="auto" w:fill="auto"/>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+0,7</w:t>
            </w:r>
          </w:p>
        </w:tc>
        <w:tc>
          <w:tcPr>
            <w:tcW w:w="931"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+0,7</w:t>
            </w:r>
          </w:p>
        </w:tc>
        <w:tc>
          <w:tcPr>
            <w:tcW w:w="1540" w:type="dxa"/>
            <w:shd w:val="clear" w:color="auto" w:fill="auto"/>
            <w:tcMar>
              <w:left w:w="284" w:type="dxa"/>
              <w:right w:w="57" w:type="dxa"/>
            </w:tcMar>
            <w:vAlign w:val="center"/>
          </w:tcPr>
          <w:p w:rsidR="0052712B" w:rsidRPr="0052712B" w:rsidRDefault="0052712B" w:rsidP="0052712B">
            <w:pPr>
              <w:spacing w:before="40" w:after="20"/>
              <w:jc w:val="right"/>
              <w:rPr>
                <w:rFonts w:ascii="Arial Narrow" w:hAnsi="Arial Narrow" w:cs="Arial"/>
                <w:sz w:val="18"/>
                <w:szCs w:val="18"/>
              </w:rPr>
            </w:pPr>
            <w:r w:rsidRPr="0052712B">
              <w:rPr>
                <w:rFonts w:ascii="Arial Narrow" w:hAnsi="Arial Narrow" w:cs="Arial"/>
                <w:sz w:val="18"/>
                <w:szCs w:val="18"/>
              </w:rPr>
              <w:t>0,068</w:t>
            </w:r>
          </w:p>
        </w:tc>
        <w:tc>
          <w:tcPr>
            <w:tcW w:w="992" w:type="dxa"/>
            <w:shd w:val="clear" w:color="auto" w:fill="D9D9D9"/>
            <w:vAlign w:val="center"/>
          </w:tcPr>
          <w:p w:rsidR="0052712B" w:rsidRPr="0052712B" w:rsidRDefault="0052712B" w:rsidP="0052712B">
            <w:pPr>
              <w:spacing w:before="40" w:after="20"/>
              <w:ind w:right="57"/>
              <w:jc w:val="right"/>
              <w:rPr>
                <w:rFonts w:ascii="Arial Narrow" w:hAnsi="Arial Narrow" w:cs="Arial"/>
                <w:sz w:val="18"/>
                <w:szCs w:val="18"/>
              </w:rPr>
            </w:pPr>
            <w:r w:rsidRPr="0052712B">
              <w:rPr>
                <w:rFonts w:ascii="Arial Narrow" w:hAnsi="Arial Narrow" w:cs="Arial"/>
                <w:sz w:val="18"/>
                <w:szCs w:val="18"/>
              </w:rPr>
              <w:t>+0,6</w:t>
            </w:r>
          </w:p>
        </w:tc>
      </w:tr>
      <w:tr w:rsidR="0052712B" w:rsidRPr="0019686B" w:rsidTr="0052712B">
        <w:trPr>
          <w:trHeight w:val="255"/>
        </w:trPr>
        <w:tc>
          <w:tcPr>
            <w:tcW w:w="3119" w:type="dxa"/>
            <w:shd w:val="clear" w:color="auto" w:fill="E42618"/>
            <w:vAlign w:val="center"/>
          </w:tcPr>
          <w:p w:rsidR="0052712B" w:rsidRPr="00C8504B" w:rsidRDefault="0052712B" w:rsidP="0052712B">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18"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1.000.000</w:t>
            </w:r>
          </w:p>
        </w:tc>
        <w:tc>
          <w:tcPr>
            <w:tcW w:w="845"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+1,6</w:t>
            </w:r>
          </w:p>
        </w:tc>
        <w:tc>
          <w:tcPr>
            <w:tcW w:w="972"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+0,7</w:t>
            </w:r>
          </w:p>
        </w:tc>
        <w:tc>
          <w:tcPr>
            <w:tcW w:w="931"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+4,8</w:t>
            </w:r>
          </w:p>
        </w:tc>
        <w:tc>
          <w:tcPr>
            <w:tcW w:w="931"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+3,9</w:t>
            </w:r>
          </w:p>
        </w:tc>
        <w:tc>
          <w:tcPr>
            <w:tcW w:w="1540" w:type="dxa"/>
            <w:shd w:val="clear" w:color="auto" w:fill="E42618"/>
            <w:tcMar>
              <w:left w:w="284" w:type="dxa"/>
              <w:right w:w="57" w:type="dxa"/>
            </w:tcMar>
            <w:vAlign w:val="center"/>
          </w:tcPr>
          <w:p w:rsidR="0052712B" w:rsidRPr="006673E6" w:rsidRDefault="0052712B" w:rsidP="0052712B">
            <w:pPr>
              <w:spacing w:before="40" w:after="20"/>
              <w:jc w:val="right"/>
              <w:rPr>
                <w:rFonts w:ascii="Arial Narrow" w:hAnsi="Arial Narrow" w:cs="Arial"/>
                <w:b/>
                <w:color w:val="FFFFFF" w:themeColor="background1"/>
                <w:sz w:val="18"/>
                <w:szCs w:val="18"/>
              </w:rPr>
            </w:pPr>
          </w:p>
        </w:tc>
        <w:tc>
          <w:tcPr>
            <w:tcW w:w="992" w:type="dxa"/>
            <w:shd w:val="clear" w:color="auto" w:fill="E42618"/>
            <w:vAlign w:val="center"/>
          </w:tcPr>
          <w:p w:rsidR="0052712B" w:rsidRPr="006673E6" w:rsidRDefault="0052712B" w:rsidP="0052712B">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+3,4</w:t>
            </w:r>
          </w:p>
        </w:tc>
      </w:tr>
      <w:bookmarkEnd w:id="0"/>
    </w:tbl>
    <w:p w:rsidR="00D1705F" w:rsidRDefault="00D1705F" w:rsidP="00D1705F">
      <w:pPr>
        <w:tabs>
          <w:tab w:val="left" w:pos="851"/>
          <w:tab w:val="left" w:pos="9639"/>
        </w:tabs>
        <w:spacing w:before="0" w:after="120"/>
        <w:jc w:val="both"/>
        <w:rPr>
          <w:rFonts w:ascii="Arial" w:hAnsi="Arial" w:cs="Arial"/>
          <w:iCs/>
          <w:sz w:val="21"/>
          <w:szCs w:val="21"/>
        </w:rPr>
      </w:pPr>
    </w:p>
    <w:p w:rsidR="00184B06" w:rsidRPr="004324F0" w:rsidRDefault="00184B06" w:rsidP="00C1564D">
      <w:pPr>
        <w:spacing w:before="0" w:after="0"/>
        <w:rPr>
          <w:rFonts w:ascii="Arial Narrow" w:hAnsi="Arial Narrow" w:cs="Calibri"/>
          <w:b/>
          <w:bCs/>
          <w:color w:val="5F5F5F"/>
          <w:kern w:val="0"/>
          <w:sz w:val="22"/>
          <w:szCs w:val="22"/>
        </w:rPr>
      </w:pPr>
      <w:r w:rsidRPr="004324F0">
        <w:rPr>
          <w:rFonts w:ascii="Arial Narrow" w:hAnsi="Arial Narrow" w:cs="Arial"/>
          <w:b/>
          <w:color w:val="E42618"/>
          <w:sz w:val="22"/>
          <w:szCs w:val="22"/>
        </w:rPr>
        <w:t xml:space="preserve">FIGURA 2. </w:t>
      </w:r>
      <w:r w:rsidRPr="004324F0">
        <w:rPr>
          <w:rFonts w:ascii="Arial Narrow" w:hAnsi="Arial Narrow" w:cs="Calibri"/>
          <w:b/>
          <w:bCs/>
          <w:color w:val="5F5F5F"/>
          <w:kern w:val="0"/>
          <w:sz w:val="22"/>
          <w:szCs w:val="22"/>
        </w:rPr>
        <w:t>INDICI DEI PREZZI AL CONSUMO NIC PER DIVISIONE DI SPESA</w:t>
      </w:r>
    </w:p>
    <w:p w:rsidR="00184B06" w:rsidRDefault="005B7BD6" w:rsidP="00C30CFD">
      <w:pPr>
        <w:pStyle w:val="001TitoGra"/>
        <w:spacing w:after="120" w:line="240" w:lineRule="auto"/>
        <w:rPr>
          <w:rFonts w:cs="Calibri"/>
          <w:b w:val="0"/>
          <w:kern w:val="0"/>
          <w:sz w:val="20"/>
          <w:szCs w:val="20"/>
        </w:rPr>
      </w:pPr>
      <w:r w:rsidRPr="005B7BD6">
        <w:rPr>
          <w:b w:val="0"/>
          <w:sz w:val="20"/>
          <w:szCs w:val="20"/>
        </w:rPr>
        <w:t>Gennaio 2022</w:t>
      </w:r>
      <w:r w:rsidR="00184B06" w:rsidRPr="00BB71FB">
        <w:rPr>
          <w:rFonts w:cs="Calibri"/>
          <w:b w:val="0"/>
          <w:kern w:val="0"/>
          <w:sz w:val="20"/>
          <w:szCs w:val="20"/>
        </w:rPr>
        <w:t>, variazioni percentuali tendenziali</w:t>
      </w:r>
      <w:r w:rsidR="00184B06" w:rsidRPr="004324F0">
        <w:rPr>
          <w:rFonts w:cs="Calibri"/>
          <w:b w:val="0"/>
          <w:kern w:val="0"/>
          <w:sz w:val="20"/>
          <w:szCs w:val="20"/>
        </w:rPr>
        <w:t xml:space="preserve"> (base 2015=100)</w:t>
      </w:r>
    </w:p>
    <w:p w:rsidR="00665C10" w:rsidRPr="00C8504B" w:rsidRDefault="007A5834" w:rsidP="002B0DBA">
      <w:pPr>
        <w:pStyle w:val="001TitoGra"/>
        <w:spacing w:after="60" w:line="240" w:lineRule="auto"/>
        <w:rPr>
          <w:rFonts w:cs="Calibri"/>
          <w:b w:val="0"/>
          <w:kern w:val="0"/>
          <w:sz w:val="20"/>
          <w:szCs w:val="20"/>
        </w:rPr>
      </w:pPr>
      <w:r>
        <w:rPr>
          <w:rFonts w:cs="Calibri"/>
          <w:b w:val="0"/>
          <w:noProof/>
          <w:kern w:val="0"/>
          <w:sz w:val="20"/>
          <w:szCs w:val="20"/>
        </w:rPr>
        <w:drawing>
          <wp:inline distT="0" distB="0" distL="0" distR="0" wp14:anchorId="1547D667">
            <wp:extent cx="6663690" cy="2164080"/>
            <wp:effectExtent l="0" t="0" r="381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rsidR="007F2F3D" w:rsidRPr="00AA6CC8" w:rsidRDefault="007F2F3D" w:rsidP="007F2F3D">
      <w:pPr>
        <w:spacing w:before="0" w:after="120"/>
        <w:jc w:val="both"/>
        <w:rPr>
          <w:rFonts w:ascii="Arial" w:hAnsi="Arial" w:cs="Arial"/>
          <w:color w:val="000000"/>
          <w:kern w:val="0"/>
          <w:sz w:val="21"/>
          <w:szCs w:val="21"/>
        </w:rPr>
      </w:pPr>
    </w:p>
    <w:p w:rsidR="004B33E4" w:rsidRPr="00C8504B" w:rsidRDefault="005B1978" w:rsidP="00BD0487">
      <w:pPr>
        <w:pStyle w:val="001TitoloBolocco"/>
        <w:spacing w:after="120" w:line="240" w:lineRule="auto"/>
        <w:rPr>
          <w:szCs w:val="26"/>
        </w:rPr>
      </w:pPr>
      <w:r w:rsidRPr="00C8504B">
        <w:rPr>
          <w:szCs w:val="26"/>
        </w:rPr>
        <w:t>Le TIPOLOGIE DI PRODOTTO</w:t>
      </w:r>
    </w:p>
    <w:p w:rsidR="00272197" w:rsidRPr="00AA6CC8" w:rsidRDefault="00944989" w:rsidP="00272197">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A gennaio </w:t>
      </w:r>
      <w:r w:rsidR="00272197">
        <w:rPr>
          <w:rFonts w:ascii="Arial" w:hAnsi="Arial" w:cs="Arial"/>
          <w:color w:val="000000"/>
          <w:kern w:val="0"/>
          <w:sz w:val="21"/>
          <w:szCs w:val="21"/>
        </w:rPr>
        <w:t xml:space="preserve">l’accelerazione tendenziale </w:t>
      </w:r>
      <w:r w:rsidR="00272197" w:rsidRPr="00AA6CC8">
        <w:rPr>
          <w:rFonts w:ascii="Arial" w:hAnsi="Arial" w:cs="Arial"/>
          <w:color w:val="000000"/>
          <w:kern w:val="0"/>
          <w:sz w:val="21"/>
          <w:szCs w:val="21"/>
        </w:rPr>
        <w:t>dell’indice generale dei prezzi al consumo NIC (</w:t>
      </w:r>
      <w:r w:rsidR="0092443F">
        <w:rPr>
          <w:rFonts w:ascii="Arial" w:hAnsi="Arial" w:cs="Arial"/>
          <w:color w:val="000000"/>
          <w:kern w:val="0"/>
          <w:sz w:val="21"/>
          <w:szCs w:val="21"/>
        </w:rPr>
        <w:t>da +3,9% di dicembre a +4,8</w:t>
      </w:r>
      <w:r w:rsidR="00272197" w:rsidRPr="00AA6CC8">
        <w:rPr>
          <w:rFonts w:ascii="Arial" w:hAnsi="Arial" w:cs="Arial"/>
          <w:color w:val="000000"/>
          <w:kern w:val="0"/>
          <w:sz w:val="21"/>
          <w:szCs w:val="21"/>
        </w:rPr>
        <w:t xml:space="preserve">%) </w:t>
      </w:r>
      <w:r w:rsidR="00272197">
        <w:rPr>
          <w:rFonts w:ascii="Arial" w:hAnsi="Arial" w:cs="Arial"/>
          <w:color w:val="000000"/>
          <w:kern w:val="0"/>
          <w:sz w:val="21"/>
          <w:szCs w:val="21"/>
        </w:rPr>
        <w:t>si deve ai prezzi dei</w:t>
      </w:r>
      <w:r w:rsidR="00272197" w:rsidRPr="00AA6CC8">
        <w:rPr>
          <w:rFonts w:ascii="Arial" w:hAnsi="Arial" w:cs="Arial"/>
          <w:color w:val="000000"/>
          <w:kern w:val="0"/>
          <w:sz w:val="21"/>
          <w:szCs w:val="21"/>
        </w:rPr>
        <w:t xml:space="preserve"> beni </w:t>
      </w:r>
      <w:r w:rsidR="00272197">
        <w:rPr>
          <w:rFonts w:ascii="Arial" w:hAnsi="Arial" w:cs="Arial"/>
          <w:color w:val="000000"/>
          <w:kern w:val="0"/>
          <w:sz w:val="21"/>
          <w:szCs w:val="21"/>
        </w:rPr>
        <w:t>(la cu</w:t>
      </w:r>
      <w:r>
        <w:rPr>
          <w:rFonts w:ascii="Arial" w:hAnsi="Arial" w:cs="Arial"/>
          <w:color w:val="000000"/>
          <w:kern w:val="0"/>
          <w:sz w:val="21"/>
          <w:szCs w:val="21"/>
        </w:rPr>
        <w:t xml:space="preserve">i crescita passa da +5,5% a +7,0%); </w:t>
      </w:r>
      <w:r w:rsidR="00272197">
        <w:rPr>
          <w:rFonts w:ascii="Arial" w:hAnsi="Arial" w:cs="Arial"/>
          <w:color w:val="000000"/>
          <w:kern w:val="0"/>
          <w:sz w:val="21"/>
          <w:szCs w:val="21"/>
        </w:rPr>
        <w:t xml:space="preserve">quelli dei </w:t>
      </w:r>
      <w:r w:rsidR="00272197" w:rsidRPr="00AA6CC8">
        <w:rPr>
          <w:rFonts w:ascii="Arial" w:hAnsi="Arial" w:cs="Arial"/>
          <w:color w:val="000000"/>
          <w:kern w:val="0"/>
          <w:sz w:val="21"/>
          <w:szCs w:val="21"/>
        </w:rPr>
        <w:t>servizi</w:t>
      </w:r>
      <w:r w:rsidR="00272197">
        <w:rPr>
          <w:rFonts w:ascii="Arial" w:hAnsi="Arial" w:cs="Arial"/>
          <w:color w:val="000000"/>
          <w:kern w:val="0"/>
          <w:sz w:val="21"/>
          <w:szCs w:val="21"/>
        </w:rPr>
        <w:t xml:space="preserve"> </w:t>
      </w:r>
      <w:r>
        <w:rPr>
          <w:rFonts w:ascii="Arial" w:hAnsi="Arial" w:cs="Arial"/>
          <w:color w:val="000000"/>
          <w:kern w:val="0"/>
          <w:sz w:val="21"/>
          <w:szCs w:val="21"/>
        </w:rPr>
        <w:t>si portano a +1,8%, in lieve accelerazione da +1,7%</w:t>
      </w:r>
      <w:r w:rsidR="00272197">
        <w:rPr>
          <w:rFonts w:ascii="Arial" w:hAnsi="Arial" w:cs="Arial"/>
          <w:color w:val="000000"/>
          <w:kern w:val="0"/>
          <w:sz w:val="21"/>
          <w:szCs w:val="21"/>
        </w:rPr>
        <w:t xml:space="preserve">; </w:t>
      </w:r>
      <w:r w:rsidR="00272197" w:rsidRPr="00074E34">
        <w:rPr>
          <w:rFonts w:ascii="Arial" w:hAnsi="Arial" w:cs="Arial"/>
          <w:color w:val="000000"/>
          <w:kern w:val="0"/>
          <w:sz w:val="21"/>
          <w:szCs w:val="21"/>
        </w:rPr>
        <w:t>il differenziale inflazionistico tra questi ultimi e i prezzi dei beni rima</w:t>
      </w:r>
      <w:r>
        <w:rPr>
          <w:rFonts w:ascii="Arial" w:hAnsi="Arial" w:cs="Arial"/>
          <w:color w:val="000000"/>
          <w:kern w:val="0"/>
          <w:sz w:val="21"/>
          <w:szCs w:val="21"/>
        </w:rPr>
        <w:t>ne negativo (-5,2</w:t>
      </w:r>
      <w:r w:rsidR="00272197" w:rsidRPr="00074E34">
        <w:rPr>
          <w:rFonts w:ascii="Arial" w:hAnsi="Arial" w:cs="Arial"/>
          <w:color w:val="000000"/>
          <w:kern w:val="0"/>
          <w:sz w:val="21"/>
          <w:szCs w:val="21"/>
        </w:rPr>
        <w:t xml:space="preserve"> punti percentuali), ampliandosi rispetto a quello registrato a </w:t>
      </w:r>
      <w:r w:rsidR="00272197">
        <w:rPr>
          <w:rFonts w:ascii="Arial" w:hAnsi="Arial" w:cs="Arial"/>
          <w:color w:val="000000"/>
          <w:kern w:val="0"/>
          <w:sz w:val="21"/>
          <w:szCs w:val="21"/>
        </w:rPr>
        <w:t>dicembre (-3,8</w:t>
      </w:r>
      <w:r w:rsidR="00272197" w:rsidRPr="00074E34">
        <w:rPr>
          <w:rFonts w:ascii="Arial" w:hAnsi="Arial" w:cs="Arial"/>
          <w:color w:val="000000"/>
          <w:kern w:val="0"/>
          <w:sz w:val="21"/>
          <w:szCs w:val="21"/>
        </w:rPr>
        <w:t>).</w:t>
      </w:r>
    </w:p>
    <w:p w:rsidR="00272197" w:rsidRDefault="002C59AC" w:rsidP="00272197">
      <w:pPr>
        <w:spacing w:before="0" w:after="120"/>
        <w:jc w:val="both"/>
        <w:rPr>
          <w:rFonts w:ascii="Arial" w:hAnsi="Arial" w:cs="Arial"/>
          <w:color w:val="000000"/>
          <w:kern w:val="0"/>
          <w:sz w:val="21"/>
          <w:szCs w:val="21"/>
        </w:rPr>
      </w:pPr>
      <w:r>
        <w:rPr>
          <w:rFonts w:ascii="Arial" w:hAnsi="Arial" w:cs="Arial"/>
          <w:color w:val="000000"/>
          <w:kern w:val="0"/>
          <w:sz w:val="21"/>
          <w:szCs w:val="21"/>
        </w:rPr>
        <w:t>L’accelerazione dei prezzi dei beni è imputabile ai</w:t>
      </w:r>
      <w:r w:rsidRPr="004B427C">
        <w:rPr>
          <w:rFonts w:ascii="Arial" w:hAnsi="Arial" w:cs="Arial"/>
          <w:color w:val="000000"/>
          <w:kern w:val="0"/>
          <w:sz w:val="21"/>
          <w:szCs w:val="21"/>
        </w:rPr>
        <w:t xml:space="preserve"> prezzi </w:t>
      </w:r>
      <w:r>
        <w:rPr>
          <w:rFonts w:ascii="Arial" w:hAnsi="Arial" w:cs="Arial"/>
          <w:color w:val="000000"/>
          <w:kern w:val="0"/>
          <w:sz w:val="21"/>
          <w:szCs w:val="21"/>
        </w:rPr>
        <w:t xml:space="preserve">dei Beni energetici (che passano da +29,1% di dicembre a +38,6%; +10,7% il congiunturale), a causa di quelli della componente regolamentata (da +41,9% a +94,6%; +43,8% rispetto a dicembre): accelerano in modo marcato i prezzi dell’Energia elettrica mercato tutelato (la cui crescita passa da +43,8% a +103,4%; +47,8% la variazione congiunturale) e quelli del </w:t>
      </w:r>
      <w:r w:rsidRPr="00071CFD">
        <w:rPr>
          <w:rFonts w:ascii="Arial" w:hAnsi="Arial" w:cs="Arial"/>
          <w:color w:val="000000"/>
          <w:kern w:val="0"/>
          <w:sz w:val="21"/>
          <w:szCs w:val="21"/>
        </w:rPr>
        <w:t>Gas di città e gas naturale</w:t>
      </w:r>
      <w:r>
        <w:rPr>
          <w:rFonts w:ascii="Arial" w:hAnsi="Arial" w:cs="Arial"/>
          <w:color w:val="000000"/>
          <w:kern w:val="0"/>
          <w:sz w:val="21"/>
          <w:szCs w:val="21"/>
        </w:rPr>
        <w:t xml:space="preserve"> mercato tutelato (da +40,8% a +86,5%; +39,0% su base mensile). Da segnalare l’accelerazione, anche se più contenuta, dei prezzi della componente non regolamentata (da +22,0% a +22,9%; +3,0% il congiunturale) a causa di quelli dell’Energia elettrica mercato libero (da +26,4% a +32,0%; +5,1% rispetto a dicembre) e del </w:t>
      </w:r>
      <w:r w:rsidRPr="0073130C">
        <w:rPr>
          <w:rFonts w:ascii="Arial" w:hAnsi="Arial" w:cs="Arial"/>
          <w:color w:val="000000"/>
          <w:kern w:val="0"/>
          <w:sz w:val="21"/>
          <w:szCs w:val="21"/>
        </w:rPr>
        <w:t>Gas di città e gas naturale mercato libero</w:t>
      </w:r>
      <w:r>
        <w:rPr>
          <w:rFonts w:ascii="Arial" w:hAnsi="Arial" w:cs="Arial"/>
          <w:color w:val="000000"/>
          <w:kern w:val="0"/>
          <w:sz w:val="21"/>
          <w:szCs w:val="21"/>
        </w:rPr>
        <w:t xml:space="preserve"> (nuovo prodotto del paniere 2022, che registra una crescita su base mensile del 10,7%); rallentano invece i prezzi del Gasolio per i mezzi di trasporto (da +23,0% a +19,9%; +0,6% il congiunturale), quelli della Benzina (da +21,3% a +18,7%; +0,5% sul mese), </w:t>
      </w:r>
      <w:r w:rsidRPr="004B427C">
        <w:rPr>
          <w:rFonts w:ascii="Arial" w:hAnsi="Arial" w:cs="Arial"/>
          <w:color w:val="000000"/>
          <w:kern w:val="0"/>
          <w:sz w:val="21"/>
          <w:szCs w:val="21"/>
        </w:rPr>
        <w:t>quelli degli Altri carburant</w:t>
      </w:r>
      <w:r>
        <w:rPr>
          <w:rFonts w:ascii="Arial" w:hAnsi="Arial" w:cs="Arial"/>
          <w:color w:val="000000"/>
          <w:kern w:val="0"/>
          <w:sz w:val="21"/>
          <w:szCs w:val="21"/>
        </w:rPr>
        <w:t xml:space="preserve">i </w:t>
      </w:r>
      <w:r w:rsidRPr="004B427C">
        <w:rPr>
          <w:rFonts w:ascii="Arial" w:hAnsi="Arial" w:cs="Arial"/>
          <w:color w:val="000000"/>
          <w:kern w:val="0"/>
          <w:sz w:val="21"/>
          <w:szCs w:val="21"/>
        </w:rPr>
        <w:t>(da +</w:t>
      </w:r>
      <w:r>
        <w:rPr>
          <w:rFonts w:ascii="Arial" w:hAnsi="Arial" w:cs="Arial"/>
          <w:color w:val="000000"/>
          <w:kern w:val="0"/>
          <w:sz w:val="21"/>
          <w:szCs w:val="21"/>
        </w:rPr>
        <w:t>45,3% a +42,2</w:t>
      </w:r>
      <w:r w:rsidRPr="004B427C">
        <w:rPr>
          <w:rFonts w:ascii="Arial" w:hAnsi="Arial" w:cs="Arial"/>
          <w:color w:val="000000"/>
          <w:kern w:val="0"/>
          <w:sz w:val="21"/>
          <w:szCs w:val="21"/>
        </w:rPr>
        <w:t>%; +</w:t>
      </w:r>
      <w:r>
        <w:rPr>
          <w:rFonts w:ascii="Arial" w:hAnsi="Arial" w:cs="Arial"/>
          <w:color w:val="000000"/>
          <w:kern w:val="0"/>
          <w:sz w:val="21"/>
          <w:szCs w:val="21"/>
        </w:rPr>
        <w:t>1,2</w:t>
      </w:r>
      <w:r w:rsidRPr="004B427C">
        <w:rPr>
          <w:rFonts w:ascii="Arial" w:hAnsi="Arial" w:cs="Arial"/>
          <w:color w:val="000000"/>
          <w:kern w:val="0"/>
          <w:sz w:val="21"/>
          <w:szCs w:val="21"/>
        </w:rPr>
        <w:t xml:space="preserve">% </w:t>
      </w:r>
      <w:r>
        <w:rPr>
          <w:rFonts w:ascii="Arial" w:hAnsi="Arial" w:cs="Arial"/>
          <w:color w:val="000000"/>
          <w:kern w:val="0"/>
          <w:sz w:val="21"/>
          <w:szCs w:val="21"/>
        </w:rPr>
        <w:t>da dicembre) e del Gasolio da riscaldamento (da +21,2% a +21,0%; +2,0% la variazione congiunturale).</w:t>
      </w:r>
    </w:p>
    <w:p w:rsidR="001D47E9" w:rsidRDefault="001D47E9" w:rsidP="001D47E9">
      <w:pPr>
        <w:spacing w:before="0" w:after="120"/>
        <w:jc w:val="both"/>
        <w:rPr>
          <w:rFonts w:ascii="Arial" w:hAnsi="Arial" w:cs="Arial"/>
          <w:color w:val="000000"/>
          <w:kern w:val="0"/>
          <w:sz w:val="21"/>
          <w:szCs w:val="21"/>
        </w:rPr>
      </w:pPr>
    </w:p>
    <w:p w:rsidR="005B1978" w:rsidRPr="00C8504B" w:rsidRDefault="003961E3" w:rsidP="009612C2">
      <w:pPr>
        <w:spacing w:before="0" w:after="0"/>
        <w:jc w:val="both"/>
        <w:rPr>
          <w:rFonts w:ascii="Arial Narrow" w:hAnsi="Arial Narrow" w:cs="Arial"/>
          <w:b/>
          <w:color w:val="5F5F5F"/>
          <w:sz w:val="22"/>
          <w:szCs w:val="22"/>
        </w:rPr>
      </w:pPr>
      <w:r w:rsidRPr="00C8504B">
        <w:rPr>
          <w:rFonts w:ascii="Arial Narrow" w:hAnsi="Arial Narrow" w:cs="Arial"/>
          <w:b/>
          <w:color w:val="E42618"/>
          <w:sz w:val="22"/>
          <w:szCs w:val="22"/>
        </w:rPr>
        <w:t>PROSPETTO</w:t>
      </w:r>
      <w:r w:rsidR="005B1978" w:rsidRPr="00C8504B">
        <w:rPr>
          <w:rFonts w:ascii="Arial Narrow" w:hAnsi="Arial Narrow" w:cs="Arial"/>
          <w:b/>
          <w:color w:val="E42618"/>
          <w:sz w:val="22"/>
          <w:szCs w:val="22"/>
        </w:rPr>
        <w:t xml:space="preserve"> </w:t>
      </w:r>
      <w:r w:rsidR="00E74721" w:rsidRPr="00C8504B">
        <w:rPr>
          <w:rFonts w:ascii="Arial Narrow" w:hAnsi="Arial Narrow" w:cs="Arial"/>
          <w:b/>
          <w:color w:val="E42618"/>
          <w:sz w:val="22"/>
          <w:szCs w:val="22"/>
        </w:rPr>
        <w:t>3</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005B1978" w:rsidRPr="00C8504B">
        <w:rPr>
          <w:rFonts w:ascii="Arial Narrow" w:hAnsi="Arial Narrow" w:cs="Calibri"/>
          <w:b/>
          <w:bCs/>
          <w:color w:val="5F5F5F"/>
          <w:kern w:val="0"/>
          <w:sz w:val="22"/>
          <w:szCs w:val="22"/>
        </w:rPr>
        <w:t>INDICE DEI PREZZI AL CONSUMO NIC PER TIPOLOGIA DI PRODOTTO</w:t>
      </w:r>
    </w:p>
    <w:p w:rsidR="005B1978" w:rsidRPr="00C8504B" w:rsidRDefault="005B7BD6" w:rsidP="005B1978">
      <w:pPr>
        <w:spacing w:before="0" w:after="120"/>
        <w:jc w:val="both"/>
        <w:rPr>
          <w:rFonts w:ascii="Arial Narrow" w:hAnsi="Arial Narrow" w:cs="Arial"/>
          <w:color w:val="5F5F5F"/>
        </w:rPr>
      </w:pPr>
      <w:r w:rsidRPr="005B7BD6">
        <w:rPr>
          <w:rFonts w:ascii="Arial Narrow" w:hAnsi="Arial Narrow" w:cs="Arial"/>
          <w:color w:val="5F5F5F"/>
        </w:rPr>
        <w:t>Gennaio 2022</w:t>
      </w:r>
      <w:r w:rsidR="00CB0759" w:rsidRPr="00C8504B">
        <w:rPr>
          <w:rFonts w:ascii="Arial Narrow" w:hAnsi="Arial Narrow" w:cs="Arial"/>
          <w:color w:val="5F5F5F"/>
        </w:rPr>
        <w:t>,</w:t>
      </w:r>
      <w:r w:rsidR="00A25192" w:rsidRPr="00C8504B">
        <w:rPr>
          <w:rFonts w:ascii="Arial Narrow" w:hAnsi="Arial Narrow" w:cs="Arial"/>
          <w:color w:val="5F5F5F"/>
        </w:rPr>
        <w:t xml:space="preserve"> pesi e </w:t>
      </w:r>
      <w:r w:rsidR="005B1978" w:rsidRPr="00C8504B">
        <w:rPr>
          <w:rFonts w:ascii="Arial Narrow" w:hAnsi="Arial Narrow" w:cs="Arial"/>
          <w:color w:val="5F5F5F"/>
        </w:rPr>
        <w:t xml:space="preserve">variazioni </w:t>
      </w:r>
      <w:r w:rsidR="00A1287A" w:rsidRPr="00C8504B">
        <w:rPr>
          <w:rFonts w:ascii="Arial Narrow" w:hAnsi="Arial Narrow" w:cs="Arial"/>
          <w:color w:val="5F5F5F"/>
        </w:rPr>
        <w:t xml:space="preserve">congiunturali e tendenziali </w:t>
      </w:r>
      <w:r w:rsidR="005B1978" w:rsidRPr="00C8504B">
        <w:rPr>
          <w:rFonts w:ascii="Arial Narrow" w:hAnsi="Arial Narrow" w:cs="Arial"/>
          <w:color w:val="5F5F5F"/>
        </w:rPr>
        <w:t>percentuali (base 20</w:t>
      </w:r>
      <w:r w:rsidR="00FB2FA2" w:rsidRPr="00C8504B">
        <w:rPr>
          <w:rFonts w:ascii="Arial Narrow" w:hAnsi="Arial Narrow" w:cs="Arial"/>
          <w:color w:val="5F5F5F"/>
        </w:rPr>
        <w:t>15=100)</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400" w:firstRow="0" w:lastRow="0" w:firstColumn="0" w:lastColumn="0" w:noHBand="0" w:noVBand="1"/>
      </w:tblPr>
      <w:tblGrid>
        <w:gridCol w:w="4253"/>
        <w:gridCol w:w="992"/>
        <w:gridCol w:w="978"/>
        <w:gridCol w:w="1006"/>
        <w:gridCol w:w="992"/>
        <w:gridCol w:w="983"/>
        <w:gridCol w:w="1002"/>
      </w:tblGrid>
      <w:tr w:rsidR="00FD0188" w:rsidRPr="00C8504B" w:rsidTr="00851952">
        <w:trPr>
          <w:trHeight w:val="326"/>
          <w:tblHeader/>
        </w:trPr>
        <w:tc>
          <w:tcPr>
            <w:tcW w:w="4253" w:type="dxa"/>
            <w:vMerge w:val="restart"/>
            <w:vAlign w:val="center"/>
          </w:tcPr>
          <w:p w:rsidR="00FD0188" w:rsidRPr="00C8504B" w:rsidRDefault="00FD0188" w:rsidP="00FD0188">
            <w:pPr>
              <w:spacing w:before="0" w:after="0"/>
              <w:ind w:left="-68"/>
              <w:rPr>
                <w:rFonts w:ascii="Arial Narrow" w:hAnsi="Arial Narrow" w:cs="Arial"/>
                <w:b/>
                <w:bCs/>
                <w:sz w:val="18"/>
                <w:szCs w:val="18"/>
              </w:rPr>
            </w:pPr>
            <w:r w:rsidRPr="00C8504B">
              <w:rPr>
                <w:rFonts w:ascii="Arial Narrow" w:hAnsi="Arial Narrow" w:cs="Arial"/>
                <w:b/>
                <w:bCs/>
                <w:sz w:val="18"/>
                <w:szCs w:val="18"/>
              </w:rPr>
              <w:t>TIPOLOGIE DI PRODOTTO</w:t>
            </w:r>
          </w:p>
        </w:tc>
        <w:tc>
          <w:tcPr>
            <w:tcW w:w="992" w:type="dxa"/>
            <w:vMerge w:val="restart"/>
            <w:shd w:val="clear" w:color="auto" w:fill="D9D9D9"/>
            <w:vAlign w:val="center"/>
          </w:tcPr>
          <w:p w:rsidR="00FD0188" w:rsidRPr="00C8504B" w:rsidRDefault="00FD0188" w:rsidP="00FD0188">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84" w:type="dxa"/>
            <w:gridSpan w:val="2"/>
            <w:vAlign w:val="center"/>
          </w:tcPr>
          <w:p w:rsidR="00FD0188" w:rsidRPr="003750EC" w:rsidRDefault="00FD0188" w:rsidP="00FD0188">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congiunturali</w:t>
            </w:r>
          </w:p>
        </w:tc>
        <w:tc>
          <w:tcPr>
            <w:tcW w:w="1975" w:type="dxa"/>
            <w:gridSpan w:val="2"/>
            <w:shd w:val="clear" w:color="auto" w:fill="D9D9D9"/>
            <w:vAlign w:val="center"/>
          </w:tcPr>
          <w:p w:rsidR="00FD0188" w:rsidRPr="003750EC" w:rsidRDefault="00FD0188" w:rsidP="00FD0188">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tendenziali</w:t>
            </w:r>
          </w:p>
        </w:tc>
        <w:tc>
          <w:tcPr>
            <w:tcW w:w="1002" w:type="dxa"/>
            <w:vMerge w:val="restart"/>
            <w:shd w:val="clear" w:color="auto" w:fill="auto"/>
            <w:vAlign w:val="center"/>
          </w:tcPr>
          <w:p w:rsidR="00FD0188" w:rsidRPr="00C8504B" w:rsidRDefault="00873EA2" w:rsidP="00FD0188">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gennaio</w:t>
            </w:r>
          </w:p>
        </w:tc>
      </w:tr>
      <w:tr w:rsidR="00EA385D" w:rsidRPr="00C8504B" w:rsidTr="00A170DD">
        <w:trPr>
          <w:trHeight w:val="381"/>
          <w:tblHeader/>
        </w:trPr>
        <w:tc>
          <w:tcPr>
            <w:tcW w:w="4253" w:type="dxa"/>
            <w:vMerge/>
            <w:vAlign w:val="center"/>
          </w:tcPr>
          <w:p w:rsidR="00EA385D" w:rsidRPr="00C8504B" w:rsidRDefault="00EA385D" w:rsidP="00EA385D">
            <w:pPr>
              <w:spacing w:before="40" w:after="20"/>
              <w:ind w:left="-68"/>
              <w:rPr>
                <w:rFonts w:ascii="Arial Narrow" w:hAnsi="Arial Narrow" w:cs="Arial"/>
                <w:b/>
                <w:bCs/>
                <w:sz w:val="18"/>
                <w:szCs w:val="18"/>
              </w:rPr>
            </w:pPr>
          </w:p>
        </w:tc>
        <w:tc>
          <w:tcPr>
            <w:tcW w:w="992" w:type="dxa"/>
            <w:vMerge/>
            <w:shd w:val="clear" w:color="auto" w:fill="D9D9D9"/>
            <w:vAlign w:val="center"/>
          </w:tcPr>
          <w:p w:rsidR="00EA385D" w:rsidRPr="00C8504B" w:rsidRDefault="00EA385D" w:rsidP="00EA385D">
            <w:pPr>
              <w:spacing w:before="40" w:after="20"/>
              <w:ind w:right="57"/>
              <w:jc w:val="right"/>
              <w:rPr>
                <w:rFonts w:ascii="Arial Narrow" w:hAnsi="Arial Narrow" w:cs="Arial"/>
                <w:b/>
                <w:bCs/>
                <w:sz w:val="18"/>
                <w:szCs w:val="18"/>
              </w:rPr>
            </w:pPr>
          </w:p>
        </w:tc>
        <w:tc>
          <w:tcPr>
            <w:tcW w:w="978"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E03E58" w:rsidRDefault="00EA385D" w:rsidP="00EA385D">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dic-21</w:t>
            </w:r>
          </w:p>
        </w:tc>
        <w:tc>
          <w:tcPr>
            <w:tcW w:w="1006"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992"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gen-21</w:t>
            </w:r>
          </w:p>
        </w:tc>
        <w:tc>
          <w:tcPr>
            <w:tcW w:w="983"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002" w:type="dxa"/>
            <w:vMerge/>
            <w:shd w:val="clear" w:color="auto" w:fill="auto"/>
            <w:vAlign w:val="center"/>
          </w:tcPr>
          <w:p w:rsidR="00EA385D" w:rsidRPr="00CF0807" w:rsidRDefault="00EA385D" w:rsidP="00EA385D">
            <w:pPr>
              <w:spacing w:before="0" w:after="0"/>
              <w:jc w:val="right"/>
              <w:rPr>
                <w:rFonts w:ascii="Arial Narrow" w:hAnsi="Arial Narrow" w:cs="Arial"/>
                <w:bCs/>
                <w:sz w:val="18"/>
                <w:szCs w:val="18"/>
              </w:rPr>
            </w:pP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sz w:val="18"/>
                <w:szCs w:val="18"/>
              </w:rPr>
            </w:pPr>
            <w:r w:rsidRPr="00C8504B">
              <w:rPr>
                <w:rFonts w:ascii="Arial Narrow" w:hAnsi="Arial Narrow" w:cs="Arial"/>
                <w:sz w:val="18"/>
                <w:szCs w:val="18"/>
              </w:rPr>
              <w:t>Beni alimentari, di cui: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195.333</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+1,6</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+3,4</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+2,6</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+3,0</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120.047</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+1,3</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+2,2</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+2,0</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+1,9</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75.286</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+2,0</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+5,3</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+3,6</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+4,6</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92.494</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+10,7</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+3,1</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+38,6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+29,1</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+25,6</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17.411</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+43,8</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+4,8</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+94,6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+41,9</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+71,3</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Energetici non regolamentati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75.083</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+3,0</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+2,3</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+22,9</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+22,0</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+13,3</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22.381</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+0,1</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+0,1</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270.978</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105.690</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+0,9</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70.411</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+0,2</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r>
      <w:tr w:rsidR="009612C2" w:rsidRPr="00C8504B" w:rsidTr="009612C2">
        <w:trPr>
          <w:trHeight w:val="255"/>
          <w:tblHeader/>
        </w:trPr>
        <w:tc>
          <w:tcPr>
            <w:tcW w:w="4253" w:type="dxa"/>
            <w:vAlign w:val="center"/>
          </w:tcPr>
          <w:p w:rsidR="009612C2" w:rsidRPr="00C8504B" w:rsidRDefault="009612C2" w:rsidP="009612C2">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94.877</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r>
      <w:tr w:rsidR="009612C2" w:rsidRPr="00A21DAE" w:rsidTr="009612C2">
        <w:trPr>
          <w:trHeight w:val="255"/>
          <w:tblHeader/>
        </w:trPr>
        <w:tc>
          <w:tcPr>
            <w:tcW w:w="4253" w:type="dxa"/>
            <w:shd w:val="clear" w:color="auto" w:fill="808080"/>
            <w:vAlign w:val="center"/>
          </w:tcPr>
          <w:p w:rsidR="009612C2" w:rsidRPr="00C8504B" w:rsidRDefault="009612C2" w:rsidP="009612C2">
            <w:pPr>
              <w:spacing w:before="40" w:after="20"/>
              <w:rPr>
                <w:rFonts w:ascii="Arial Narrow" w:hAnsi="Arial Narrow" w:cs="Arial"/>
                <w:b/>
                <w:color w:val="FFFFFF"/>
                <w:sz w:val="18"/>
                <w:szCs w:val="18"/>
              </w:rPr>
            </w:pPr>
            <w:r w:rsidRPr="00C8504B">
              <w:rPr>
                <w:rFonts w:ascii="Arial Narrow" w:hAnsi="Arial Narrow" w:cs="Arial"/>
                <w:b/>
                <w:color w:val="FFFFFF"/>
                <w:sz w:val="18"/>
                <w:szCs w:val="18"/>
              </w:rPr>
              <w:t>Beni</w:t>
            </w:r>
          </w:p>
        </w:tc>
        <w:tc>
          <w:tcPr>
            <w:tcW w:w="992" w:type="dxa"/>
            <w:shd w:val="clear" w:color="auto" w:fill="808080"/>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581.186</w:t>
            </w:r>
          </w:p>
        </w:tc>
        <w:tc>
          <w:tcPr>
            <w:tcW w:w="978" w:type="dxa"/>
            <w:shd w:val="clear" w:color="auto" w:fill="808080"/>
            <w:tcMar>
              <w:left w:w="142"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+2,4</w:t>
            </w:r>
          </w:p>
        </w:tc>
        <w:tc>
          <w:tcPr>
            <w:tcW w:w="1006"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+1,0</w:t>
            </w:r>
          </w:p>
        </w:tc>
        <w:tc>
          <w:tcPr>
            <w:tcW w:w="992"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+7,0</w:t>
            </w:r>
          </w:p>
        </w:tc>
        <w:tc>
          <w:tcPr>
            <w:tcW w:w="983"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+5,5</w:t>
            </w:r>
          </w:p>
        </w:tc>
        <w:tc>
          <w:tcPr>
            <w:tcW w:w="1002" w:type="dxa"/>
            <w:shd w:val="clear" w:color="auto" w:fill="808080"/>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+5,3</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76.842</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+0,8</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17.859</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+0,1</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+0,1</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r>
      <w:tr w:rsidR="009612C2" w:rsidRPr="00C8504B" w:rsidTr="009612C2">
        <w:trPr>
          <w:trHeight w:val="255"/>
          <w:tblHeader/>
        </w:trPr>
        <w:tc>
          <w:tcPr>
            <w:tcW w:w="4253" w:type="dxa"/>
            <w:vAlign w:val="center"/>
          </w:tcPr>
          <w:p w:rsidR="009612C2" w:rsidRPr="00C8504B" w:rsidRDefault="009612C2" w:rsidP="009612C2">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143.087</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+1,1</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-0,2</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+3,6</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+2,3</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+1,9</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64.440</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-1,6</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+0,5</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+1,5</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+3,6</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0,0</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116.586</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+0,2</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+0,2</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+1,1</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+1,1</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r>
      <w:tr w:rsidR="009612C2" w:rsidRPr="004851FE" w:rsidTr="009612C2">
        <w:trPr>
          <w:trHeight w:val="255"/>
          <w:tblHeader/>
        </w:trPr>
        <w:tc>
          <w:tcPr>
            <w:tcW w:w="4253" w:type="dxa"/>
            <w:shd w:val="clear" w:color="auto" w:fill="808080"/>
            <w:vAlign w:val="center"/>
          </w:tcPr>
          <w:p w:rsidR="009612C2" w:rsidRPr="00C8504B" w:rsidRDefault="009612C2" w:rsidP="009612C2">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92" w:type="dxa"/>
            <w:shd w:val="clear" w:color="auto" w:fill="808080"/>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418.814</w:t>
            </w:r>
          </w:p>
        </w:tc>
        <w:tc>
          <w:tcPr>
            <w:tcW w:w="978" w:type="dxa"/>
            <w:shd w:val="clear" w:color="auto" w:fill="808080"/>
            <w:tcMar>
              <w:left w:w="142"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+0,3</w:t>
            </w:r>
          </w:p>
        </w:tc>
        <w:tc>
          <w:tcPr>
            <w:tcW w:w="1006"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+0,2</w:t>
            </w:r>
          </w:p>
        </w:tc>
        <w:tc>
          <w:tcPr>
            <w:tcW w:w="992"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+1,8</w:t>
            </w:r>
          </w:p>
        </w:tc>
        <w:tc>
          <w:tcPr>
            <w:tcW w:w="983" w:type="dxa"/>
            <w:shd w:val="clear" w:color="auto" w:fill="808080"/>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+1,7</w:t>
            </w:r>
          </w:p>
        </w:tc>
        <w:tc>
          <w:tcPr>
            <w:tcW w:w="1002" w:type="dxa"/>
            <w:shd w:val="clear" w:color="auto" w:fill="808080"/>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+0,9</w:t>
            </w:r>
          </w:p>
        </w:tc>
      </w:tr>
      <w:tr w:rsidR="009612C2" w:rsidRPr="004851FE" w:rsidTr="009612C2">
        <w:trPr>
          <w:trHeight w:val="255"/>
          <w:tblHeader/>
        </w:trPr>
        <w:tc>
          <w:tcPr>
            <w:tcW w:w="4253" w:type="dxa"/>
            <w:shd w:val="clear" w:color="auto" w:fill="E42618"/>
            <w:vAlign w:val="center"/>
          </w:tcPr>
          <w:p w:rsidR="009612C2" w:rsidRPr="00C8504B" w:rsidRDefault="009612C2" w:rsidP="009612C2">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92" w:type="dxa"/>
            <w:shd w:val="clear" w:color="auto" w:fill="E42618"/>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1.000.000</w:t>
            </w:r>
          </w:p>
        </w:tc>
        <w:tc>
          <w:tcPr>
            <w:tcW w:w="978" w:type="dxa"/>
            <w:shd w:val="clear" w:color="auto" w:fill="E42618"/>
            <w:tcMar>
              <w:left w:w="142"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+1,6</w:t>
            </w:r>
          </w:p>
        </w:tc>
        <w:tc>
          <w:tcPr>
            <w:tcW w:w="1006" w:type="dxa"/>
            <w:shd w:val="clear" w:color="auto" w:fill="E42618"/>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+0,7</w:t>
            </w:r>
          </w:p>
        </w:tc>
        <w:tc>
          <w:tcPr>
            <w:tcW w:w="992" w:type="dxa"/>
            <w:shd w:val="clear" w:color="auto" w:fill="E42618"/>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+4,8</w:t>
            </w:r>
          </w:p>
        </w:tc>
        <w:tc>
          <w:tcPr>
            <w:tcW w:w="983" w:type="dxa"/>
            <w:shd w:val="clear" w:color="auto" w:fill="E42618"/>
            <w:tcMar>
              <w:lef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+3,9</w:t>
            </w:r>
          </w:p>
        </w:tc>
        <w:tc>
          <w:tcPr>
            <w:tcW w:w="1002" w:type="dxa"/>
            <w:shd w:val="clear" w:color="auto" w:fill="E42618"/>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b/>
                <w:color w:val="FFFFFF" w:themeColor="background1"/>
                <w:sz w:val="18"/>
                <w:szCs w:val="18"/>
              </w:rPr>
            </w:pPr>
            <w:r w:rsidRPr="009612C2">
              <w:rPr>
                <w:rFonts w:ascii="Arial Narrow" w:hAnsi="Arial Narrow" w:cs="Arial"/>
                <w:b/>
                <w:color w:val="FFFFFF" w:themeColor="background1"/>
                <w:sz w:val="18"/>
                <w:szCs w:val="18"/>
              </w:rPr>
              <w:t>+3,4</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832.220</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+1,5</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+1,5</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+1,0</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689.792</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+0,3</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+0,2</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+1,5</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+1,4</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+0,9</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907.506</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+0,6</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+0,4</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+1,8</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+1,6</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+1,2</w:t>
            </w:r>
          </w:p>
        </w:tc>
      </w:tr>
      <w:tr w:rsidR="009612C2" w:rsidRPr="00C8504B" w:rsidTr="009612C2">
        <w:trPr>
          <w:trHeight w:val="255"/>
          <w:tblHeader/>
        </w:trPr>
        <w:tc>
          <w:tcPr>
            <w:tcW w:w="4253" w:type="dxa"/>
            <w:vAlign w:val="center"/>
          </w:tcPr>
          <w:p w:rsidR="009612C2" w:rsidRPr="00C8504B" w:rsidRDefault="009612C2" w:rsidP="009612C2">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992" w:type="dxa"/>
            <w:shd w:val="clear" w:color="auto" w:fill="D9D9D9"/>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220.483</w:t>
            </w:r>
          </w:p>
        </w:tc>
        <w:tc>
          <w:tcPr>
            <w:tcW w:w="978" w:type="dxa"/>
            <w:tcMar>
              <w:left w:w="142"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+1,4</w:t>
            </w:r>
          </w:p>
        </w:tc>
        <w:tc>
          <w:tcPr>
            <w:tcW w:w="1006"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+0,7</w:t>
            </w:r>
          </w:p>
        </w:tc>
        <w:tc>
          <w:tcPr>
            <w:tcW w:w="992" w:type="dxa"/>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+3,2</w:t>
            </w:r>
          </w:p>
        </w:tc>
        <w:tc>
          <w:tcPr>
            <w:tcW w:w="983" w:type="dxa"/>
            <w:shd w:val="clear" w:color="auto" w:fill="D9D9D9"/>
            <w:tcMar>
              <w:lef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+2,4</w:t>
            </w:r>
          </w:p>
        </w:tc>
        <w:tc>
          <w:tcPr>
            <w:tcW w:w="1002" w:type="dxa"/>
            <w:shd w:val="clear" w:color="auto" w:fill="auto"/>
            <w:tcMar>
              <w:left w:w="284" w:type="dxa"/>
              <w:right w:w="85" w:type="dxa"/>
            </w:tcMar>
            <w:vAlign w:val="center"/>
          </w:tcPr>
          <w:p w:rsidR="009612C2" w:rsidRPr="009612C2" w:rsidRDefault="009612C2" w:rsidP="009612C2">
            <w:pPr>
              <w:spacing w:before="40" w:after="20"/>
              <w:ind w:left="-68" w:right="-57"/>
              <w:jc w:val="right"/>
              <w:rPr>
                <w:rFonts w:ascii="Arial Narrow" w:hAnsi="Arial Narrow" w:cs="Arial"/>
                <w:sz w:val="18"/>
                <w:szCs w:val="18"/>
              </w:rPr>
            </w:pPr>
            <w:r w:rsidRPr="009612C2">
              <w:rPr>
                <w:rFonts w:ascii="Arial Narrow" w:hAnsi="Arial Narrow" w:cs="Arial"/>
                <w:sz w:val="18"/>
                <w:szCs w:val="18"/>
              </w:rPr>
              <w:t>+2,8</w:t>
            </w:r>
          </w:p>
        </w:tc>
      </w:tr>
    </w:tbl>
    <w:p w:rsidR="005637A4" w:rsidRDefault="005637A4" w:rsidP="00991D0E">
      <w:pPr>
        <w:spacing w:before="0" w:after="120"/>
        <w:jc w:val="both"/>
        <w:rPr>
          <w:rFonts w:ascii="Arial" w:hAnsi="Arial" w:cs="Arial"/>
          <w:color w:val="000000"/>
          <w:kern w:val="0"/>
          <w:sz w:val="21"/>
          <w:szCs w:val="21"/>
        </w:rPr>
      </w:pPr>
    </w:p>
    <w:p w:rsidR="00B25508" w:rsidRDefault="00B25508" w:rsidP="00B25508">
      <w:pPr>
        <w:spacing w:before="0" w:after="120"/>
        <w:jc w:val="both"/>
        <w:rPr>
          <w:rFonts w:ascii="Arial" w:hAnsi="Arial" w:cs="Arial"/>
          <w:color w:val="000000"/>
          <w:kern w:val="0"/>
          <w:sz w:val="21"/>
          <w:szCs w:val="21"/>
        </w:rPr>
      </w:pPr>
    </w:p>
    <w:p w:rsidR="00B65833" w:rsidRDefault="00B65833" w:rsidP="00B25508">
      <w:pPr>
        <w:spacing w:before="0" w:after="120"/>
        <w:jc w:val="both"/>
        <w:rPr>
          <w:rFonts w:ascii="Arial" w:hAnsi="Arial" w:cs="Arial"/>
          <w:color w:val="000000"/>
          <w:kern w:val="0"/>
          <w:sz w:val="21"/>
          <w:szCs w:val="21"/>
        </w:rPr>
      </w:pPr>
    </w:p>
    <w:p w:rsidR="002C59AC" w:rsidRPr="004B427C" w:rsidRDefault="002C59AC" w:rsidP="002C59AC">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I prezzi dei </w:t>
      </w:r>
      <w:r w:rsidRPr="004B427C">
        <w:rPr>
          <w:rFonts w:ascii="Arial" w:hAnsi="Arial" w:cs="Arial"/>
          <w:color w:val="000000"/>
          <w:kern w:val="0"/>
          <w:sz w:val="21"/>
          <w:szCs w:val="21"/>
        </w:rPr>
        <w:t xml:space="preserve">Beni alimentari </w:t>
      </w:r>
      <w:r>
        <w:rPr>
          <w:rFonts w:ascii="Arial" w:hAnsi="Arial" w:cs="Arial"/>
          <w:color w:val="000000"/>
          <w:kern w:val="0"/>
          <w:sz w:val="21"/>
          <w:szCs w:val="21"/>
        </w:rPr>
        <w:t xml:space="preserve">accelerano </w:t>
      </w:r>
      <w:r w:rsidRPr="004B427C">
        <w:rPr>
          <w:rFonts w:ascii="Arial" w:hAnsi="Arial" w:cs="Arial"/>
          <w:color w:val="000000"/>
          <w:kern w:val="0"/>
          <w:sz w:val="21"/>
          <w:szCs w:val="21"/>
        </w:rPr>
        <w:t>(</w:t>
      </w:r>
      <w:r>
        <w:rPr>
          <w:rFonts w:ascii="Arial" w:hAnsi="Arial" w:cs="Arial"/>
          <w:color w:val="000000"/>
          <w:kern w:val="0"/>
          <w:sz w:val="21"/>
          <w:szCs w:val="21"/>
        </w:rPr>
        <w:t>da +2,6% di dicembre a +3,4</w:t>
      </w:r>
      <w:r w:rsidRPr="004B427C">
        <w:rPr>
          <w:rFonts w:ascii="Arial" w:hAnsi="Arial" w:cs="Arial"/>
          <w:color w:val="000000"/>
          <w:kern w:val="0"/>
          <w:sz w:val="21"/>
          <w:szCs w:val="21"/>
        </w:rPr>
        <w:t>%</w:t>
      </w:r>
      <w:r>
        <w:rPr>
          <w:rFonts w:ascii="Arial" w:hAnsi="Arial" w:cs="Arial"/>
          <w:color w:val="000000"/>
          <w:kern w:val="0"/>
          <w:sz w:val="21"/>
          <w:szCs w:val="21"/>
        </w:rPr>
        <w:t xml:space="preserve">; +1,6% sul mese) a causa in particolare </w:t>
      </w:r>
      <w:r w:rsidRPr="004B427C">
        <w:rPr>
          <w:rFonts w:ascii="Arial" w:hAnsi="Arial" w:cs="Arial"/>
          <w:color w:val="000000"/>
          <w:kern w:val="0"/>
          <w:sz w:val="21"/>
          <w:szCs w:val="21"/>
        </w:rPr>
        <w:t>di quelli</w:t>
      </w:r>
      <w:r>
        <w:rPr>
          <w:rFonts w:ascii="Arial" w:hAnsi="Arial" w:cs="Arial"/>
          <w:color w:val="000000"/>
          <w:kern w:val="0"/>
          <w:sz w:val="21"/>
          <w:szCs w:val="21"/>
        </w:rPr>
        <w:t xml:space="preserve"> </w:t>
      </w:r>
      <w:r w:rsidRPr="004B427C">
        <w:rPr>
          <w:rFonts w:ascii="Arial" w:hAnsi="Arial" w:cs="Arial"/>
          <w:color w:val="000000"/>
          <w:kern w:val="0"/>
          <w:sz w:val="21"/>
          <w:szCs w:val="21"/>
        </w:rPr>
        <w:t xml:space="preserve">degli Alimentari non lavorati </w:t>
      </w:r>
      <w:r>
        <w:rPr>
          <w:rFonts w:ascii="Arial" w:hAnsi="Arial" w:cs="Arial"/>
          <w:color w:val="000000"/>
          <w:kern w:val="0"/>
          <w:sz w:val="21"/>
          <w:szCs w:val="21"/>
        </w:rPr>
        <w:t>(</w:t>
      </w:r>
      <w:r w:rsidRPr="004B427C">
        <w:rPr>
          <w:rFonts w:ascii="Arial" w:hAnsi="Arial" w:cs="Arial"/>
          <w:color w:val="000000"/>
          <w:kern w:val="0"/>
          <w:sz w:val="21"/>
          <w:szCs w:val="21"/>
        </w:rPr>
        <w:t xml:space="preserve">da </w:t>
      </w:r>
      <w:r>
        <w:rPr>
          <w:rFonts w:ascii="Arial" w:hAnsi="Arial" w:cs="Arial"/>
          <w:color w:val="000000"/>
          <w:kern w:val="0"/>
          <w:sz w:val="21"/>
          <w:szCs w:val="21"/>
        </w:rPr>
        <w:t>+3,6% a +5,3</w:t>
      </w:r>
      <w:r w:rsidRPr="004B427C">
        <w:rPr>
          <w:rFonts w:ascii="Arial" w:hAnsi="Arial" w:cs="Arial"/>
          <w:color w:val="000000"/>
          <w:kern w:val="0"/>
          <w:sz w:val="21"/>
          <w:szCs w:val="21"/>
        </w:rPr>
        <w:t xml:space="preserve">%; </w:t>
      </w:r>
      <w:r>
        <w:rPr>
          <w:rFonts w:ascii="Arial" w:hAnsi="Arial" w:cs="Arial"/>
          <w:color w:val="000000"/>
          <w:kern w:val="0"/>
          <w:sz w:val="21"/>
          <w:szCs w:val="21"/>
        </w:rPr>
        <w:t>+2,0</w:t>
      </w:r>
      <w:r w:rsidRPr="004B427C">
        <w:rPr>
          <w:rFonts w:ascii="Arial" w:hAnsi="Arial" w:cs="Arial"/>
          <w:color w:val="000000"/>
          <w:kern w:val="0"/>
          <w:sz w:val="21"/>
          <w:szCs w:val="21"/>
        </w:rPr>
        <w:t xml:space="preserve">% </w:t>
      </w:r>
      <w:r>
        <w:rPr>
          <w:rFonts w:ascii="Arial" w:hAnsi="Arial" w:cs="Arial"/>
          <w:color w:val="000000"/>
          <w:kern w:val="0"/>
          <w:sz w:val="21"/>
          <w:szCs w:val="21"/>
        </w:rPr>
        <w:t>rispetto a dicembre): nello specifico, la crescita dei prezzi della Frutta fresca e refrigerata passa da +4,2</w:t>
      </w:r>
      <w:r w:rsidRPr="004B427C">
        <w:rPr>
          <w:rFonts w:ascii="Arial" w:hAnsi="Arial" w:cs="Arial"/>
          <w:color w:val="000000"/>
          <w:kern w:val="0"/>
          <w:sz w:val="21"/>
          <w:szCs w:val="21"/>
        </w:rPr>
        <w:t xml:space="preserve">% a </w:t>
      </w:r>
      <w:r>
        <w:rPr>
          <w:rFonts w:ascii="Arial" w:hAnsi="Arial" w:cs="Arial"/>
          <w:color w:val="000000"/>
          <w:kern w:val="0"/>
          <w:sz w:val="21"/>
          <w:szCs w:val="21"/>
        </w:rPr>
        <w:t>+5,5</w:t>
      </w:r>
      <w:r w:rsidRPr="004B427C">
        <w:rPr>
          <w:rFonts w:ascii="Arial" w:hAnsi="Arial" w:cs="Arial"/>
          <w:color w:val="000000"/>
          <w:kern w:val="0"/>
          <w:sz w:val="21"/>
          <w:szCs w:val="21"/>
        </w:rPr>
        <w:t>%</w:t>
      </w:r>
      <w:r>
        <w:rPr>
          <w:rFonts w:ascii="Arial" w:hAnsi="Arial" w:cs="Arial"/>
          <w:color w:val="000000"/>
          <w:kern w:val="0"/>
          <w:sz w:val="21"/>
          <w:szCs w:val="21"/>
        </w:rPr>
        <w:t xml:space="preserve"> (+0,9</w:t>
      </w:r>
      <w:r w:rsidRPr="004B427C">
        <w:rPr>
          <w:rFonts w:ascii="Arial" w:hAnsi="Arial" w:cs="Arial"/>
          <w:color w:val="000000"/>
          <w:kern w:val="0"/>
          <w:sz w:val="21"/>
          <w:szCs w:val="21"/>
        </w:rPr>
        <w:t>% il congiunturale)</w:t>
      </w:r>
      <w:r>
        <w:rPr>
          <w:rFonts w:ascii="Arial" w:hAnsi="Arial" w:cs="Arial"/>
          <w:color w:val="000000"/>
          <w:kern w:val="0"/>
          <w:sz w:val="21"/>
          <w:szCs w:val="21"/>
        </w:rPr>
        <w:t xml:space="preserve"> e quella dei prezzi</w:t>
      </w:r>
      <w:r w:rsidRPr="004B427C">
        <w:rPr>
          <w:rFonts w:ascii="Arial" w:hAnsi="Arial" w:cs="Arial"/>
          <w:color w:val="000000"/>
          <w:kern w:val="0"/>
          <w:sz w:val="21"/>
          <w:szCs w:val="21"/>
        </w:rPr>
        <w:t xml:space="preserve"> </w:t>
      </w:r>
      <w:r>
        <w:rPr>
          <w:rFonts w:ascii="Arial" w:hAnsi="Arial" w:cs="Arial"/>
          <w:color w:val="000000"/>
          <w:kern w:val="0"/>
          <w:sz w:val="21"/>
          <w:szCs w:val="21"/>
        </w:rPr>
        <w:t xml:space="preserve">dei </w:t>
      </w:r>
      <w:r w:rsidRPr="004B427C">
        <w:rPr>
          <w:rFonts w:ascii="Arial" w:hAnsi="Arial" w:cs="Arial"/>
          <w:color w:val="000000"/>
          <w:kern w:val="0"/>
          <w:sz w:val="21"/>
          <w:szCs w:val="21"/>
        </w:rPr>
        <w:t xml:space="preserve">Vegetali freschi o refrigerati diversi dalle patate da </w:t>
      </w:r>
      <w:r>
        <w:rPr>
          <w:rFonts w:ascii="Arial" w:hAnsi="Arial" w:cs="Arial"/>
          <w:color w:val="000000"/>
          <w:kern w:val="0"/>
          <w:sz w:val="21"/>
          <w:szCs w:val="21"/>
        </w:rPr>
        <w:t>+7,2% a +13,5% (+6,8% su base mensile). Accelerano, ma in misura più contenuta anche i prezzi d</w:t>
      </w:r>
      <w:r w:rsidR="00632120">
        <w:rPr>
          <w:rFonts w:ascii="Arial" w:hAnsi="Arial" w:cs="Arial"/>
          <w:color w:val="000000"/>
          <w:kern w:val="0"/>
          <w:sz w:val="21"/>
          <w:szCs w:val="21"/>
        </w:rPr>
        <w:t>egli Alimentari lavorati (da +2,</w:t>
      </w:r>
      <w:r>
        <w:rPr>
          <w:rFonts w:ascii="Arial" w:hAnsi="Arial" w:cs="Arial"/>
          <w:color w:val="000000"/>
          <w:kern w:val="0"/>
          <w:sz w:val="21"/>
          <w:szCs w:val="21"/>
        </w:rPr>
        <w:t>0% a +2,2%).</w:t>
      </w:r>
    </w:p>
    <w:p w:rsidR="002C59AC" w:rsidRDefault="002C59AC" w:rsidP="002C59AC">
      <w:pPr>
        <w:spacing w:before="0" w:after="120"/>
        <w:jc w:val="both"/>
        <w:rPr>
          <w:rFonts w:ascii="Arial" w:hAnsi="Arial" w:cs="Arial"/>
          <w:color w:val="000000"/>
          <w:kern w:val="0"/>
          <w:sz w:val="21"/>
          <w:szCs w:val="21"/>
        </w:rPr>
      </w:pPr>
      <w:r w:rsidRPr="006059DC">
        <w:rPr>
          <w:rFonts w:ascii="Arial" w:hAnsi="Arial" w:cs="Arial"/>
          <w:color w:val="000000"/>
          <w:kern w:val="0"/>
          <w:sz w:val="21"/>
          <w:szCs w:val="21"/>
        </w:rPr>
        <w:t xml:space="preserve">La </w:t>
      </w:r>
      <w:r>
        <w:rPr>
          <w:rFonts w:ascii="Arial" w:hAnsi="Arial" w:cs="Arial"/>
          <w:color w:val="000000"/>
          <w:kern w:val="0"/>
          <w:sz w:val="21"/>
          <w:szCs w:val="21"/>
        </w:rPr>
        <w:t xml:space="preserve">lieve accelerazione </w:t>
      </w:r>
      <w:r w:rsidRPr="006059DC">
        <w:rPr>
          <w:rFonts w:ascii="Arial" w:hAnsi="Arial" w:cs="Arial"/>
          <w:color w:val="000000"/>
          <w:kern w:val="0"/>
          <w:sz w:val="21"/>
          <w:szCs w:val="21"/>
        </w:rPr>
        <w:t>dei prezzi dei servizi (</w:t>
      </w:r>
      <w:r>
        <w:rPr>
          <w:rFonts w:ascii="Arial" w:hAnsi="Arial" w:cs="Arial"/>
          <w:color w:val="000000"/>
          <w:kern w:val="0"/>
          <w:sz w:val="21"/>
          <w:szCs w:val="21"/>
        </w:rPr>
        <w:t xml:space="preserve">da </w:t>
      </w:r>
      <w:r w:rsidRPr="006059DC">
        <w:rPr>
          <w:rFonts w:ascii="Arial" w:hAnsi="Arial" w:cs="Arial"/>
          <w:color w:val="000000"/>
          <w:kern w:val="0"/>
          <w:sz w:val="21"/>
          <w:szCs w:val="21"/>
        </w:rPr>
        <w:t>+1,7%</w:t>
      </w:r>
      <w:r>
        <w:rPr>
          <w:rFonts w:ascii="Arial" w:hAnsi="Arial" w:cs="Arial"/>
          <w:color w:val="000000"/>
          <w:kern w:val="0"/>
          <w:sz w:val="21"/>
          <w:szCs w:val="21"/>
        </w:rPr>
        <w:t xml:space="preserve"> di dicembre a +1,8%; +0,3</w:t>
      </w:r>
      <w:r w:rsidRPr="006059DC">
        <w:rPr>
          <w:rFonts w:ascii="Arial" w:hAnsi="Arial" w:cs="Arial"/>
          <w:color w:val="000000"/>
          <w:kern w:val="0"/>
          <w:sz w:val="21"/>
          <w:szCs w:val="21"/>
        </w:rPr>
        <w:t xml:space="preserve">% </w:t>
      </w:r>
      <w:r>
        <w:rPr>
          <w:rFonts w:ascii="Arial" w:hAnsi="Arial" w:cs="Arial"/>
          <w:color w:val="000000"/>
          <w:kern w:val="0"/>
          <w:sz w:val="21"/>
          <w:szCs w:val="21"/>
        </w:rPr>
        <w:t>la variazione congiunturale</w:t>
      </w:r>
      <w:r w:rsidRPr="006059DC">
        <w:rPr>
          <w:rFonts w:ascii="Arial" w:hAnsi="Arial" w:cs="Arial"/>
          <w:color w:val="000000"/>
          <w:kern w:val="0"/>
          <w:sz w:val="21"/>
          <w:szCs w:val="21"/>
        </w:rPr>
        <w:t xml:space="preserve">) </w:t>
      </w:r>
      <w:r>
        <w:rPr>
          <w:rFonts w:ascii="Arial" w:hAnsi="Arial" w:cs="Arial"/>
          <w:color w:val="000000"/>
          <w:kern w:val="0"/>
          <w:sz w:val="21"/>
          <w:szCs w:val="21"/>
        </w:rPr>
        <w:t>si deve prevalentemente alla crescita de</w:t>
      </w:r>
      <w:r w:rsidRPr="006059DC">
        <w:rPr>
          <w:rFonts w:ascii="Arial" w:hAnsi="Arial" w:cs="Arial"/>
          <w:color w:val="000000"/>
          <w:kern w:val="0"/>
          <w:sz w:val="21"/>
          <w:szCs w:val="21"/>
        </w:rPr>
        <w:t>i prezzi dei Servizi ricreativi, culturali e per la cur</w:t>
      </w:r>
      <w:r>
        <w:rPr>
          <w:rFonts w:ascii="Arial" w:hAnsi="Arial" w:cs="Arial"/>
          <w:color w:val="000000"/>
          <w:kern w:val="0"/>
          <w:sz w:val="21"/>
          <w:szCs w:val="21"/>
        </w:rPr>
        <w:t>a della persona (da +2,3% a +3,6</w:t>
      </w:r>
      <w:r w:rsidRPr="006059DC">
        <w:rPr>
          <w:rFonts w:ascii="Arial" w:hAnsi="Arial" w:cs="Arial"/>
          <w:color w:val="000000"/>
          <w:kern w:val="0"/>
          <w:sz w:val="21"/>
          <w:szCs w:val="21"/>
        </w:rPr>
        <w:t>%; +</w:t>
      </w:r>
      <w:r>
        <w:rPr>
          <w:rFonts w:ascii="Arial" w:hAnsi="Arial" w:cs="Arial"/>
          <w:color w:val="000000"/>
          <w:kern w:val="0"/>
          <w:sz w:val="21"/>
          <w:szCs w:val="21"/>
        </w:rPr>
        <w:t>1,1</w:t>
      </w:r>
      <w:r w:rsidRPr="006059DC">
        <w:rPr>
          <w:rFonts w:ascii="Arial" w:hAnsi="Arial" w:cs="Arial"/>
          <w:color w:val="000000"/>
          <w:kern w:val="0"/>
          <w:sz w:val="21"/>
          <w:szCs w:val="21"/>
        </w:rPr>
        <w:t xml:space="preserve"> sul mese), </w:t>
      </w:r>
      <w:r>
        <w:rPr>
          <w:rFonts w:ascii="Arial" w:hAnsi="Arial" w:cs="Arial"/>
          <w:color w:val="000000"/>
          <w:kern w:val="0"/>
          <w:sz w:val="21"/>
          <w:szCs w:val="21"/>
        </w:rPr>
        <w:t>a causa</w:t>
      </w:r>
      <w:r w:rsidRPr="006059DC">
        <w:rPr>
          <w:rFonts w:ascii="Arial" w:hAnsi="Arial" w:cs="Arial"/>
          <w:color w:val="000000"/>
          <w:kern w:val="0"/>
          <w:sz w:val="21"/>
          <w:szCs w:val="21"/>
        </w:rPr>
        <w:t xml:space="preserve"> </w:t>
      </w:r>
      <w:r>
        <w:rPr>
          <w:rFonts w:ascii="Arial" w:hAnsi="Arial" w:cs="Arial"/>
          <w:color w:val="000000"/>
          <w:kern w:val="0"/>
          <w:sz w:val="21"/>
          <w:szCs w:val="21"/>
        </w:rPr>
        <w:t>di</w:t>
      </w:r>
      <w:r w:rsidRPr="006059DC">
        <w:rPr>
          <w:rFonts w:ascii="Arial" w:hAnsi="Arial" w:cs="Arial"/>
          <w:color w:val="000000"/>
          <w:kern w:val="0"/>
          <w:sz w:val="21"/>
          <w:szCs w:val="21"/>
        </w:rPr>
        <w:t xml:space="preserve"> quelli dei Servizi di alloggio (da +6,9% a +</w:t>
      </w:r>
      <w:r w:rsidR="0065571D">
        <w:rPr>
          <w:rFonts w:ascii="Arial" w:hAnsi="Arial" w:cs="Arial"/>
          <w:color w:val="000000"/>
          <w:kern w:val="0"/>
          <w:sz w:val="21"/>
          <w:szCs w:val="21"/>
        </w:rPr>
        <w:t>11,6%; +6,0</w:t>
      </w:r>
      <w:r w:rsidRPr="006059DC">
        <w:rPr>
          <w:rFonts w:ascii="Arial" w:hAnsi="Arial" w:cs="Arial"/>
          <w:color w:val="000000"/>
          <w:kern w:val="0"/>
          <w:sz w:val="21"/>
          <w:szCs w:val="21"/>
        </w:rPr>
        <w:t>% il congiunturale)</w:t>
      </w:r>
      <w:r>
        <w:rPr>
          <w:rFonts w:ascii="Arial" w:hAnsi="Arial" w:cs="Arial"/>
          <w:color w:val="000000"/>
          <w:kern w:val="0"/>
          <w:sz w:val="21"/>
          <w:szCs w:val="21"/>
        </w:rPr>
        <w:t>,</w:t>
      </w:r>
      <w:r w:rsidRPr="006059DC">
        <w:rPr>
          <w:rFonts w:ascii="Arial" w:hAnsi="Arial" w:cs="Arial"/>
          <w:color w:val="000000"/>
          <w:kern w:val="0"/>
          <w:sz w:val="21"/>
          <w:szCs w:val="21"/>
        </w:rPr>
        <w:t xml:space="preserve"> </w:t>
      </w:r>
      <w:r>
        <w:rPr>
          <w:rFonts w:ascii="Arial" w:hAnsi="Arial" w:cs="Arial"/>
          <w:color w:val="000000"/>
          <w:kern w:val="0"/>
          <w:sz w:val="21"/>
          <w:szCs w:val="21"/>
        </w:rPr>
        <w:t xml:space="preserve">dei prezzi </w:t>
      </w:r>
      <w:r w:rsidRPr="006059DC">
        <w:rPr>
          <w:rFonts w:ascii="Arial" w:hAnsi="Arial" w:cs="Arial"/>
          <w:color w:val="000000"/>
          <w:kern w:val="0"/>
          <w:sz w:val="21"/>
          <w:szCs w:val="21"/>
        </w:rPr>
        <w:t>dei Pacchetti vacanza (che invert</w:t>
      </w:r>
      <w:r>
        <w:rPr>
          <w:rFonts w:ascii="Arial" w:hAnsi="Arial" w:cs="Arial"/>
          <w:color w:val="000000"/>
          <w:kern w:val="0"/>
          <w:sz w:val="21"/>
          <w:szCs w:val="21"/>
        </w:rPr>
        <w:t>ono la tendenza da -6,4% a +11,5%; +1,1</w:t>
      </w:r>
      <w:r w:rsidRPr="006059DC">
        <w:rPr>
          <w:rFonts w:ascii="Arial" w:hAnsi="Arial" w:cs="Arial"/>
          <w:color w:val="000000"/>
          <w:kern w:val="0"/>
          <w:sz w:val="21"/>
          <w:szCs w:val="21"/>
        </w:rPr>
        <w:t>% s</w:t>
      </w:r>
      <w:r>
        <w:rPr>
          <w:rFonts w:ascii="Arial" w:hAnsi="Arial" w:cs="Arial"/>
          <w:color w:val="000000"/>
          <w:kern w:val="0"/>
          <w:sz w:val="21"/>
          <w:szCs w:val="21"/>
        </w:rPr>
        <w:t>u</w:t>
      </w:r>
      <w:r w:rsidRPr="006059DC">
        <w:rPr>
          <w:rFonts w:ascii="Arial" w:hAnsi="Arial" w:cs="Arial"/>
          <w:color w:val="000000"/>
          <w:kern w:val="0"/>
          <w:sz w:val="21"/>
          <w:szCs w:val="21"/>
        </w:rPr>
        <w:t xml:space="preserve"> base mensile)</w:t>
      </w:r>
      <w:r>
        <w:rPr>
          <w:rFonts w:ascii="Arial" w:hAnsi="Arial" w:cs="Arial"/>
          <w:color w:val="000000"/>
          <w:kern w:val="0"/>
          <w:sz w:val="21"/>
          <w:szCs w:val="21"/>
        </w:rPr>
        <w:t xml:space="preserve"> e dei Servizi ricreativi e sportivi (da +3,4% a+3,8%; +0,5% rispetto al mese precedente). Rallentano invece i</w:t>
      </w:r>
      <w:r w:rsidRPr="006059DC">
        <w:rPr>
          <w:rFonts w:ascii="Arial" w:hAnsi="Arial" w:cs="Arial"/>
          <w:color w:val="000000"/>
          <w:kern w:val="0"/>
          <w:sz w:val="21"/>
          <w:szCs w:val="21"/>
        </w:rPr>
        <w:t xml:space="preserve"> prezzi dei Servizi relati</w:t>
      </w:r>
      <w:r>
        <w:rPr>
          <w:rFonts w:ascii="Arial" w:hAnsi="Arial" w:cs="Arial"/>
          <w:color w:val="000000"/>
          <w:kern w:val="0"/>
          <w:sz w:val="21"/>
          <w:szCs w:val="21"/>
        </w:rPr>
        <w:t>vi ai trasporti (da +3,6% a +1,5%; -1,6</w:t>
      </w:r>
      <w:r w:rsidRPr="006059DC">
        <w:rPr>
          <w:rFonts w:ascii="Arial" w:hAnsi="Arial" w:cs="Arial"/>
          <w:color w:val="000000"/>
          <w:kern w:val="0"/>
          <w:sz w:val="21"/>
          <w:szCs w:val="21"/>
        </w:rPr>
        <w:t>% il congiunturale</w:t>
      </w:r>
      <w:r>
        <w:rPr>
          <w:rFonts w:ascii="Arial" w:hAnsi="Arial" w:cs="Arial"/>
          <w:color w:val="000000"/>
          <w:kern w:val="0"/>
          <w:sz w:val="21"/>
          <w:szCs w:val="21"/>
        </w:rPr>
        <w:t xml:space="preserve"> e sui cui andamenti tendenziali si riflettono ancora le conseguenze delle limitazioni alla mobilità personale dovute alla pandemia),</w:t>
      </w:r>
      <w:r w:rsidRPr="006059DC">
        <w:rPr>
          <w:rFonts w:ascii="Arial" w:hAnsi="Arial" w:cs="Arial"/>
          <w:color w:val="000000"/>
          <w:kern w:val="0"/>
          <w:sz w:val="21"/>
          <w:szCs w:val="21"/>
        </w:rPr>
        <w:t xml:space="preserve"> per effetto di quelli del Trasporto aereo passeggeri (da +49,2%</w:t>
      </w:r>
      <w:r>
        <w:rPr>
          <w:rFonts w:ascii="Arial" w:hAnsi="Arial" w:cs="Arial"/>
          <w:color w:val="000000"/>
          <w:kern w:val="0"/>
          <w:sz w:val="21"/>
          <w:szCs w:val="21"/>
        </w:rPr>
        <w:t xml:space="preserve"> a +1,3%; -26,8</w:t>
      </w:r>
      <w:r w:rsidRPr="006059DC">
        <w:rPr>
          <w:rFonts w:ascii="Arial" w:hAnsi="Arial" w:cs="Arial"/>
          <w:color w:val="000000"/>
          <w:kern w:val="0"/>
          <w:sz w:val="21"/>
          <w:szCs w:val="21"/>
        </w:rPr>
        <w:t>% sul mese a causa per lo più di fattori stagionali) e del Trasporto passeggeri su rotaia</w:t>
      </w:r>
      <w:r>
        <w:rPr>
          <w:rFonts w:ascii="Arial" w:hAnsi="Arial" w:cs="Arial"/>
          <w:color w:val="000000"/>
          <w:kern w:val="0"/>
          <w:sz w:val="21"/>
          <w:szCs w:val="21"/>
        </w:rPr>
        <w:t xml:space="preserve">, </w:t>
      </w:r>
      <w:r w:rsidRPr="006059DC">
        <w:rPr>
          <w:rFonts w:ascii="Arial" w:hAnsi="Arial" w:cs="Arial"/>
          <w:color w:val="000000"/>
          <w:kern w:val="0"/>
          <w:sz w:val="21"/>
          <w:szCs w:val="21"/>
        </w:rPr>
        <w:t xml:space="preserve">i cui prezzi </w:t>
      </w:r>
      <w:r>
        <w:rPr>
          <w:rFonts w:ascii="Arial" w:hAnsi="Arial" w:cs="Arial"/>
          <w:color w:val="000000"/>
          <w:kern w:val="0"/>
          <w:sz w:val="21"/>
          <w:szCs w:val="21"/>
        </w:rPr>
        <w:t>flettono in misura più marcata (da -4,5% a -8,9</w:t>
      </w:r>
      <w:r w:rsidRPr="006059DC">
        <w:rPr>
          <w:rFonts w:ascii="Arial" w:hAnsi="Arial" w:cs="Arial"/>
          <w:color w:val="000000"/>
          <w:kern w:val="0"/>
          <w:sz w:val="21"/>
          <w:szCs w:val="21"/>
        </w:rPr>
        <w:t>%; -</w:t>
      </w:r>
      <w:r>
        <w:rPr>
          <w:rFonts w:ascii="Arial" w:hAnsi="Arial" w:cs="Arial"/>
          <w:color w:val="000000"/>
          <w:kern w:val="0"/>
          <w:sz w:val="21"/>
          <w:szCs w:val="21"/>
        </w:rPr>
        <w:t>3,5</w:t>
      </w:r>
      <w:r w:rsidRPr="006059DC">
        <w:rPr>
          <w:rFonts w:ascii="Arial" w:hAnsi="Arial" w:cs="Arial"/>
          <w:color w:val="000000"/>
          <w:kern w:val="0"/>
          <w:sz w:val="21"/>
          <w:szCs w:val="21"/>
        </w:rPr>
        <w:t>% il congiunturale)</w:t>
      </w:r>
      <w:r>
        <w:rPr>
          <w:rFonts w:ascii="Arial" w:hAnsi="Arial" w:cs="Arial"/>
          <w:color w:val="000000"/>
          <w:kern w:val="0"/>
          <w:sz w:val="21"/>
          <w:szCs w:val="21"/>
        </w:rPr>
        <w:t xml:space="preserve">. Accelerano invece </w:t>
      </w:r>
      <w:r w:rsidRPr="006059DC">
        <w:rPr>
          <w:rFonts w:ascii="Arial" w:hAnsi="Arial" w:cs="Arial"/>
          <w:color w:val="000000"/>
          <w:kern w:val="0"/>
          <w:sz w:val="21"/>
          <w:szCs w:val="21"/>
        </w:rPr>
        <w:t>i prezzi del Trasporto marittimo e per vie d’acqua interne (da +4,2% a +7,8%; +2,1% su dicembre).</w:t>
      </w:r>
    </w:p>
    <w:p w:rsidR="003D2965" w:rsidRPr="00991D0E" w:rsidRDefault="001777A8" w:rsidP="00991D0E">
      <w:pPr>
        <w:spacing w:before="0" w:after="120"/>
        <w:jc w:val="both"/>
        <w:rPr>
          <w:rFonts w:ascii="Arial" w:hAnsi="Arial" w:cs="Arial"/>
          <w:color w:val="000000"/>
          <w:kern w:val="0"/>
          <w:sz w:val="21"/>
          <w:szCs w:val="21"/>
        </w:rPr>
      </w:pPr>
      <w:r w:rsidRPr="00991D0E">
        <w:rPr>
          <w:rFonts w:ascii="Arial" w:hAnsi="Arial" w:cs="Arial"/>
          <w:color w:val="000000"/>
          <w:kern w:val="0"/>
          <w:sz w:val="21"/>
          <w:szCs w:val="21"/>
        </w:rPr>
        <w:t xml:space="preserve">Il ruolo delle diverse tipologie di prodotto nel determinare l’inflazione del mese di </w:t>
      </w:r>
      <w:r w:rsidR="00295425">
        <w:rPr>
          <w:rFonts w:ascii="Arial" w:hAnsi="Arial" w:cs="Arial"/>
          <w:color w:val="000000"/>
          <w:kern w:val="0"/>
          <w:sz w:val="21"/>
          <w:szCs w:val="21"/>
        </w:rPr>
        <w:t>gennaio</w:t>
      </w:r>
      <w:r w:rsidRPr="00991D0E">
        <w:rPr>
          <w:rFonts w:ascii="Arial" w:hAnsi="Arial" w:cs="Arial"/>
          <w:color w:val="000000"/>
          <w:kern w:val="0"/>
          <w:sz w:val="21"/>
          <w:szCs w:val="21"/>
        </w:rPr>
        <w:t xml:space="preserve"> è rappresentato dai contributi alla variazione dell’indice generale dei prezzi al consumo riportati nella figura 4.</w:t>
      </w:r>
    </w:p>
    <w:p w:rsidR="001777A8" w:rsidRDefault="001777A8" w:rsidP="00991D0E">
      <w:pPr>
        <w:spacing w:before="0" w:after="120"/>
        <w:jc w:val="both"/>
        <w:rPr>
          <w:rFonts w:ascii="Arial" w:hAnsi="Arial" w:cs="Arial"/>
          <w:color w:val="000000"/>
          <w:kern w:val="0"/>
          <w:sz w:val="21"/>
          <w:szCs w:val="21"/>
        </w:rPr>
      </w:pPr>
    </w:p>
    <w:p w:rsidR="00184B06" w:rsidRPr="00C8504B" w:rsidRDefault="00184B06" w:rsidP="00184B06">
      <w:pPr>
        <w:pStyle w:val="001TitoGra"/>
        <w:spacing w:line="240" w:lineRule="auto"/>
      </w:pPr>
      <w:r w:rsidRPr="00C8504B">
        <w:rPr>
          <w:rFonts w:cs="Calibri"/>
          <w:bCs/>
          <w:color w:val="FF0000"/>
          <w:kern w:val="0"/>
        </w:rPr>
        <w:t xml:space="preserve">FIGURA 3. </w:t>
      </w:r>
      <w:r w:rsidRPr="00C8504B">
        <w:rPr>
          <w:rFonts w:cs="Calibri"/>
          <w:bCs/>
          <w:kern w:val="0"/>
        </w:rPr>
        <w:t>INDICI DEI PREZZI AL CONSU</w:t>
      </w:r>
      <w:r w:rsidR="00C17464" w:rsidRPr="00C8504B">
        <w:rPr>
          <w:rFonts w:cs="Calibri"/>
          <w:bCs/>
          <w:kern w:val="0"/>
        </w:rPr>
        <w:t>MO NIC PER CATEGORIE DI PRODOTTO</w:t>
      </w:r>
    </w:p>
    <w:p w:rsidR="00184B06" w:rsidRDefault="005B7BD6" w:rsidP="007C600E">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w:t>
      </w:r>
      <w:r w:rsidR="00FF7AE4">
        <w:rPr>
          <w:b w:val="0"/>
          <w:sz w:val="20"/>
          <w:szCs w:val="20"/>
        </w:rPr>
        <w:t>–</w:t>
      </w:r>
      <w:r w:rsidR="00141DAE" w:rsidRPr="00141DAE">
        <w:rPr>
          <w:b w:val="0"/>
          <w:sz w:val="20"/>
          <w:szCs w:val="20"/>
        </w:rPr>
        <w:t xml:space="preserve"> </w:t>
      </w:r>
      <w:r>
        <w:rPr>
          <w:b w:val="0"/>
          <w:sz w:val="20"/>
          <w:szCs w:val="20"/>
        </w:rPr>
        <w:t>g</w:t>
      </w:r>
      <w:r w:rsidRPr="005B7BD6">
        <w:rPr>
          <w:b w:val="0"/>
          <w:sz w:val="20"/>
          <w:szCs w:val="20"/>
        </w:rPr>
        <w:t>ennaio 2022</w:t>
      </w:r>
      <w:r w:rsidR="00184B06" w:rsidRPr="000D11A3">
        <w:rPr>
          <w:rFonts w:cs="Calibri"/>
          <w:b w:val="0"/>
          <w:kern w:val="0"/>
          <w:sz w:val="20"/>
          <w:szCs w:val="20"/>
        </w:rPr>
        <w:t>, variazioni percentuali tendenziali (base 2015=100)</w:t>
      </w:r>
      <w:r w:rsidR="00D456A7" w:rsidRPr="000D11A3">
        <w:rPr>
          <w:rFonts w:cs="Calibri"/>
          <w:b w:val="0"/>
          <w:kern w:val="0"/>
          <w:sz w:val="20"/>
          <w:szCs w:val="20"/>
        </w:rPr>
        <w:t xml:space="preserve"> </w:t>
      </w:r>
    </w:p>
    <w:p w:rsidR="00F84108" w:rsidRDefault="00B65833" w:rsidP="00F84108">
      <w:pPr>
        <w:spacing w:before="0" w:after="120"/>
        <w:jc w:val="both"/>
        <w:rPr>
          <w:rFonts w:ascii="Arial" w:hAnsi="Arial" w:cs="Arial"/>
          <w:iCs/>
          <w:sz w:val="14"/>
          <w:szCs w:val="21"/>
        </w:rPr>
      </w:pPr>
      <w:r>
        <w:rPr>
          <w:rFonts w:ascii="Arial" w:hAnsi="Arial" w:cs="Arial"/>
          <w:iCs/>
          <w:noProof/>
          <w:sz w:val="14"/>
          <w:szCs w:val="21"/>
        </w:rPr>
        <w:drawing>
          <wp:inline distT="0" distB="0" distL="0" distR="0" wp14:anchorId="167E0531">
            <wp:extent cx="6663690" cy="2158365"/>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p>
    <w:p w:rsidR="00B65833" w:rsidRDefault="00B65833" w:rsidP="00B65833">
      <w:pPr>
        <w:spacing w:before="0" w:after="120"/>
        <w:jc w:val="both"/>
        <w:rPr>
          <w:rFonts w:ascii="Arial" w:hAnsi="Arial" w:cs="Arial"/>
          <w:color w:val="000000"/>
          <w:kern w:val="0"/>
          <w:sz w:val="21"/>
          <w:szCs w:val="21"/>
        </w:rPr>
      </w:pPr>
    </w:p>
    <w:p w:rsidR="00A93E6A" w:rsidRDefault="00AE4283" w:rsidP="00111252">
      <w:pPr>
        <w:pStyle w:val="001SottotitoloGra"/>
        <w:spacing w:after="0" w:line="240" w:lineRule="auto"/>
        <w:jc w:val="both"/>
        <w:rPr>
          <w:rFonts w:cs="Calibri"/>
          <w:b/>
          <w:bCs/>
          <w:kern w:val="0"/>
          <w:sz w:val="22"/>
          <w:szCs w:val="22"/>
        </w:rPr>
      </w:pPr>
      <w:r w:rsidRPr="00415074">
        <w:rPr>
          <w:b/>
          <w:color w:val="E42618"/>
          <w:sz w:val="22"/>
          <w:szCs w:val="22"/>
        </w:rPr>
        <w:t>FIGURA 4</w:t>
      </w:r>
      <w:r w:rsidRPr="00415074">
        <w:rPr>
          <w:b/>
          <w:color w:val="E42618"/>
        </w:rPr>
        <w:t>.</w:t>
      </w:r>
      <w:r w:rsidRPr="00415074">
        <w:rPr>
          <w:b/>
        </w:rPr>
        <w:t xml:space="preserve"> </w:t>
      </w:r>
      <w:r w:rsidR="00DA7A68" w:rsidRPr="00415074">
        <w:rPr>
          <w:rFonts w:cs="Calibri"/>
          <w:b/>
          <w:bCs/>
          <w:kern w:val="0"/>
          <w:sz w:val="22"/>
          <w:szCs w:val="22"/>
        </w:rPr>
        <w:t>INDICE</w:t>
      </w:r>
      <w:r w:rsidRPr="00415074">
        <w:rPr>
          <w:rFonts w:cs="Calibri"/>
          <w:b/>
          <w:bCs/>
          <w:kern w:val="0"/>
          <w:sz w:val="22"/>
          <w:szCs w:val="22"/>
        </w:rPr>
        <w:t xml:space="preserve"> DEI PREZZI AL CONSUMO </w:t>
      </w:r>
      <w:r w:rsidR="00DA7A68" w:rsidRPr="00415074">
        <w:rPr>
          <w:rFonts w:cs="Calibri"/>
          <w:b/>
          <w:bCs/>
          <w:kern w:val="0"/>
          <w:sz w:val="22"/>
          <w:szCs w:val="22"/>
        </w:rPr>
        <w:t>NIC, CONTRIBUTI ALLA VARIAZIONE PERCENTUALE TENDENZIALE PER TIPOLOGIA DI</w:t>
      </w:r>
      <w:r w:rsidR="00DA7A68" w:rsidRPr="00CE4786">
        <w:rPr>
          <w:rFonts w:cs="Calibri"/>
          <w:b/>
          <w:bCs/>
          <w:kern w:val="0"/>
          <w:sz w:val="22"/>
          <w:szCs w:val="22"/>
        </w:rPr>
        <w:t xml:space="preserve"> PRODOTTO</w:t>
      </w:r>
      <w:r w:rsidR="00A93E6A">
        <w:rPr>
          <w:rFonts w:cs="Calibri"/>
          <w:b/>
          <w:bCs/>
          <w:kern w:val="0"/>
          <w:sz w:val="22"/>
          <w:szCs w:val="22"/>
        </w:rPr>
        <w:t xml:space="preserve">, </w:t>
      </w:r>
      <w:proofErr w:type="gramStart"/>
      <w:r w:rsidR="005B7BD6" w:rsidRPr="005B7BD6">
        <w:t>Gennaio</w:t>
      </w:r>
      <w:proofErr w:type="gramEnd"/>
      <w:r w:rsidR="005B7BD6" w:rsidRPr="005B7BD6">
        <w:t xml:space="preserve"> 2022</w:t>
      </w:r>
      <w:r w:rsidR="00C85C69" w:rsidRPr="00CE4786">
        <w:t>, punti percentuali</w:t>
      </w:r>
    </w:p>
    <w:p w:rsidR="00A1287A" w:rsidRDefault="00B65833" w:rsidP="0091023A">
      <w:pPr>
        <w:pStyle w:val="001SottotitoloGra"/>
        <w:spacing w:line="240" w:lineRule="auto"/>
        <w:jc w:val="both"/>
      </w:pPr>
      <w:r>
        <w:rPr>
          <w:noProof/>
        </w:rPr>
        <w:drawing>
          <wp:inline distT="0" distB="0" distL="0" distR="0" wp14:anchorId="65E6F5EB">
            <wp:extent cx="6663690" cy="2158365"/>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r w:rsidR="00DD1837" w:rsidRPr="00C8504B">
        <w:t xml:space="preserve"> </w:t>
      </w:r>
    </w:p>
    <w:p w:rsidR="00300368" w:rsidRDefault="00300368" w:rsidP="00300368">
      <w:pPr>
        <w:spacing w:before="0" w:after="120"/>
        <w:rPr>
          <w:szCs w:val="26"/>
        </w:rPr>
      </w:pPr>
    </w:p>
    <w:p w:rsidR="00B65833" w:rsidRDefault="00B65833" w:rsidP="00300368">
      <w:pPr>
        <w:spacing w:before="0" w:after="120"/>
        <w:rPr>
          <w:szCs w:val="26"/>
        </w:rPr>
      </w:pPr>
    </w:p>
    <w:p w:rsidR="00B32C69" w:rsidRPr="00C8504B" w:rsidRDefault="00B32C69" w:rsidP="00BD0487">
      <w:pPr>
        <w:pStyle w:val="001TitoloBolocco"/>
        <w:spacing w:after="120" w:line="240" w:lineRule="auto"/>
        <w:rPr>
          <w:szCs w:val="26"/>
        </w:rPr>
      </w:pPr>
      <w:r w:rsidRPr="00C8504B">
        <w:rPr>
          <w:szCs w:val="26"/>
        </w:rPr>
        <w:t>I BENI E I SERVIZI REGOLAMENTATI</w:t>
      </w:r>
    </w:p>
    <w:p w:rsidR="00B87271" w:rsidRPr="00566441" w:rsidRDefault="00B87271" w:rsidP="00566441">
      <w:pPr>
        <w:spacing w:before="0" w:after="120"/>
        <w:rPr>
          <w:szCs w:val="26"/>
        </w:rPr>
      </w:pPr>
    </w:p>
    <w:p w:rsidR="00045623" w:rsidRPr="00C8504B" w:rsidRDefault="00EE2474" w:rsidP="00045623">
      <w:pPr>
        <w:widowControl/>
        <w:tabs>
          <w:tab w:val="left" w:pos="2041"/>
        </w:tabs>
        <w:overflowPunct/>
        <w:autoSpaceDE/>
        <w:autoSpaceDN/>
        <w:adjustRightInd/>
        <w:spacing w:before="0" w:after="120"/>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4</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Pr="000345F9">
        <w:rPr>
          <w:rFonts w:ascii="Arial Narrow" w:hAnsi="Arial Narrow" w:cs="Calibri"/>
          <w:b/>
          <w:bCs/>
          <w:color w:val="5F5F5F"/>
          <w:kern w:val="0"/>
          <w:sz w:val="22"/>
          <w:szCs w:val="22"/>
        </w:rPr>
        <w:t>I</w:t>
      </w:r>
      <w:r w:rsidR="00C55B4B" w:rsidRPr="000345F9">
        <w:rPr>
          <w:rFonts w:ascii="Arial Narrow" w:hAnsi="Arial Narrow" w:cs="Calibri"/>
          <w:b/>
          <w:bCs/>
          <w:color w:val="5F5F5F"/>
          <w:kern w:val="0"/>
          <w:sz w:val="22"/>
          <w:szCs w:val="22"/>
        </w:rPr>
        <w:t>NDICI DEI PREZZI AL CONSUMO NIC</w:t>
      </w:r>
      <w:r w:rsidRPr="000345F9">
        <w:rPr>
          <w:rFonts w:ascii="Arial Narrow" w:hAnsi="Arial Narrow" w:cs="Calibri"/>
          <w:b/>
          <w:bCs/>
          <w:color w:val="5F5F5F"/>
          <w:kern w:val="0"/>
          <w:sz w:val="22"/>
          <w:szCs w:val="22"/>
        </w:rPr>
        <w:t xml:space="preserve"> PER BENI E SERVIZI REGOLAMENTATI E NON REGOLAMENTATI</w:t>
      </w:r>
      <w:r w:rsidR="00625F9C" w:rsidRPr="00C8504B">
        <w:rPr>
          <w:rFonts w:ascii="Arial Narrow" w:hAnsi="Arial Narrow" w:cs="Arial"/>
          <w:b/>
          <w:color w:val="5F5F5F"/>
          <w:sz w:val="22"/>
          <w:szCs w:val="22"/>
        </w:rPr>
        <w:br/>
      </w:r>
      <w:r w:rsidR="005B7BD6" w:rsidRPr="005B7BD6">
        <w:rPr>
          <w:rFonts w:ascii="Arial Narrow" w:hAnsi="Arial Narrow" w:cs="Arial"/>
          <w:color w:val="5F5F5F"/>
        </w:rPr>
        <w:t>Gennaio 2022</w:t>
      </w:r>
      <w:r w:rsidRPr="00C8504B">
        <w:rPr>
          <w:rFonts w:ascii="Arial Narrow" w:hAnsi="Arial Narrow" w:cs="Arial"/>
          <w:color w:val="5F5F5F"/>
        </w:rPr>
        <w:t xml:space="preserve">, pesi, variazioni </w:t>
      </w:r>
      <w:r w:rsidR="00625F9C" w:rsidRPr="00C8504B">
        <w:rPr>
          <w:rFonts w:ascii="Arial Narrow" w:hAnsi="Arial Narrow" w:cs="Arial"/>
          <w:color w:val="5F5F5F"/>
        </w:rPr>
        <w:t xml:space="preserve">percentuali congiunturali e tendenziali </w:t>
      </w:r>
      <w:r w:rsidRPr="00C8504B">
        <w:rPr>
          <w:rFonts w:ascii="Arial Narrow" w:hAnsi="Arial Narrow" w:cs="Arial"/>
          <w:color w:val="5F5F5F"/>
        </w:rPr>
        <w:t xml:space="preserve">e contributi alla variazione tendenziale dell’indice generale (base 2015=100) </w:t>
      </w:r>
    </w:p>
    <w:tbl>
      <w:tblPr>
        <w:tblW w:w="10278"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000" w:firstRow="0" w:lastRow="0" w:firstColumn="0" w:lastColumn="0" w:noHBand="0" w:noVBand="0"/>
      </w:tblPr>
      <w:tblGrid>
        <w:gridCol w:w="2698"/>
        <w:gridCol w:w="988"/>
        <w:gridCol w:w="1064"/>
        <w:gridCol w:w="992"/>
        <w:gridCol w:w="993"/>
        <w:gridCol w:w="966"/>
        <w:gridCol w:w="1585"/>
        <w:gridCol w:w="992"/>
      </w:tblGrid>
      <w:tr w:rsidR="00FD0188" w:rsidRPr="00C8504B" w:rsidTr="002D71E2">
        <w:trPr>
          <w:trHeight w:val="347"/>
        </w:trPr>
        <w:tc>
          <w:tcPr>
            <w:tcW w:w="2698" w:type="dxa"/>
            <w:vMerge w:val="restart"/>
            <w:vAlign w:val="center"/>
          </w:tcPr>
          <w:p w:rsidR="00FD0188" w:rsidRPr="00C8504B" w:rsidRDefault="00FD0188" w:rsidP="00FD0188">
            <w:pPr>
              <w:spacing w:before="40" w:after="20"/>
              <w:ind w:left="-57"/>
              <w:rPr>
                <w:rFonts w:ascii="Arial Narrow" w:hAnsi="Arial Narrow" w:cs="Arial"/>
                <w:b/>
                <w:bCs/>
                <w:sz w:val="18"/>
                <w:szCs w:val="18"/>
              </w:rPr>
            </w:pPr>
            <w:r w:rsidRPr="00C8504B">
              <w:rPr>
                <w:rFonts w:ascii="Arial Narrow" w:hAnsi="Arial Narrow" w:cs="Arial"/>
                <w:b/>
                <w:bCs/>
                <w:sz w:val="18"/>
                <w:szCs w:val="18"/>
              </w:rPr>
              <w:t>TIPOLOGIE DI PRODOTTO</w:t>
            </w:r>
          </w:p>
        </w:tc>
        <w:tc>
          <w:tcPr>
            <w:tcW w:w="988" w:type="dxa"/>
            <w:vMerge w:val="restart"/>
            <w:shd w:val="clear" w:color="auto" w:fill="D9D9D9"/>
            <w:vAlign w:val="center"/>
          </w:tcPr>
          <w:p w:rsidR="00FD0188" w:rsidRPr="00C8504B" w:rsidRDefault="00FD0188" w:rsidP="00FD0188">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056" w:type="dxa"/>
            <w:gridSpan w:val="2"/>
            <w:shd w:val="clear" w:color="auto" w:fill="auto"/>
            <w:vAlign w:val="center"/>
          </w:tcPr>
          <w:p w:rsidR="00FD0188" w:rsidRPr="00C8504B" w:rsidRDefault="00FD0188" w:rsidP="00FD0188">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59" w:type="dxa"/>
            <w:gridSpan w:val="2"/>
            <w:shd w:val="clear" w:color="auto" w:fill="D9D9D9"/>
            <w:vAlign w:val="center"/>
          </w:tcPr>
          <w:p w:rsidR="00FD0188" w:rsidRPr="00C8504B" w:rsidRDefault="00FD0188" w:rsidP="00FD0188">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585" w:type="dxa"/>
            <w:vMerge w:val="restart"/>
            <w:shd w:val="clear" w:color="auto" w:fill="auto"/>
            <w:vAlign w:val="center"/>
          </w:tcPr>
          <w:p w:rsidR="00FD0188" w:rsidRPr="00CF0807" w:rsidRDefault="00FD0188" w:rsidP="00FD0188">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p>
        </w:tc>
        <w:tc>
          <w:tcPr>
            <w:tcW w:w="992" w:type="dxa"/>
            <w:vMerge w:val="restart"/>
            <w:shd w:val="clear" w:color="auto" w:fill="D9D9D9"/>
            <w:vAlign w:val="center"/>
          </w:tcPr>
          <w:p w:rsidR="00FD0188" w:rsidRPr="00C8504B" w:rsidRDefault="00873EA2" w:rsidP="00FD0188">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gennaio</w:t>
            </w:r>
          </w:p>
        </w:tc>
      </w:tr>
      <w:tr w:rsidR="00EA385D" w:rsidRPr="00C8504B" w:rsidTr="002D71E2">
        <w:trPr>
          <w:trHeight w:val="346"/>
        </w:trPr>
        <w:tc>
          <w:tcPr>
            <w:tcW w:w="2698" w:type="dxa"/>
            <w:vMerge/>
            <w:vAlign w:val="center"/>
          </w:tcPr>
          <w:p w:rsidR="00EA385D" w:rsidRPr="00C8504B" w:rsidRDefault="00EA385D" w:rsidP="00EA385D">
            <w:pPr>
              <w:spacing w:before="40" w:after="20"/>
              <w:ind w:left="-57"/>
              <w:rPr>
                <w:rFonts w:ascii="Arial Narrow" w:hAnsi="Arial Narrow" w:cs="Arial"/>
                <w:b/>
                <w:bCs/>
                <w:sz w:val="18"/>
                <w:szCs w:val="18"/>
              </w:rPr>
            </w:pPr>
          </w:p>
        </w:tc>
        <w:tc>
          <w:tcPr>
            <w:tcW w:w="988" w:type="dxa"/>
            <w:vMerge/>
            <w:shd w:val="clear" w:color="auto" w:fill="D9D9D9"/>
            <w:vAlign w:val="center"/>
          </w:tcPr>
          <w:p w:rsidR="00EA385D" w:rsidRPr="00C8504B" w:rsidRDefault="00EA385D" w:rsidP="00EA385D">
            <w:pPr>
              <w:spacing w:before="40" w:after="20"/>
              <w:ind w:left="-57" w:right="57"/>
              <w:jc w:val="right"/>
              <w:rPr>
                <w:rFonts w:ascii="Arial Narrow" w:hAnsi="Arial Narrow" w:cs="Arial"/>
                <w:b/>
                <w:bCs/>
                <w:sz w:val="18"/>
                <w:szCs w:val="18"/>
              </w:rPr>
            </w:pPr>
          </w:p>
        </w:tc>
        <w:tc>
          <w:tcPr>
            <w:tcW w:w="1064" w:type="dxa"/>
            <w:shd w:val="clear" w:color="auto" w:fill="auto"/>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E03E58" w:rsidRDefault="00EA385D" w:rsidP="00EA385D">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dic-21</w:t>
            </w:r>
          </w:p>
        </w:tc>
        <w:tc>
          <w:tcPr>
            <w:tcW w:w="992" w:type="dxa"/>
            <w:shd w:val="clear" w:color="auto" w:fill="auto"/>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993" w:type="dxa"/>
            <w:shd w:val="clear" w:color="auto" w:fill="auto"/>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gen-21</w:t>
            </w:r>
          </w:p>
        </w:tc>
        <w:tc>
          <w:tcPr>
            <w:tcW w:w="966" w:type="dxa"/>
            <w:shd w:val="clear" w:color="auto" w:fill="auto"/>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585" w:type="dxa"/>
            <w:vMerge/>
            <w:shd w:val="clear" w:color="auto" w:fill="auto"/>
            <w:vAlign w:val="center"/>
          </w:tcPr>
          <w:p w:rsidR="00EA385D" w:rsidRPr="00CF0807" w:rsidRDefault="00EA385D" w:rsidP="00EA385D">
            <w:pPr>
              <w:spacing w:before="40" w:after="20"/>
              <w:ind w:left="-57" w:right="57"/>
              <w:jc w:val="right"/>
              <w:rPr>
                <w:rFonts w:ascii="Arial Narrow" w:hAnsi="Arial Narrow" w:cs="Arial"/>
                <w:b/>
                <w:bCs/>
                <w:sz w:val="18"/>
                <w:szCs w:val="18"/>
              </w:rPr>
            </w:pPr>
          </w:p>
        </w:tc>
        <w:tc>
          <w:tcPr>
            <w:tcW w:w="992" w:type="dxa"/>
            <w:vMerge/>
            <w:shd w:val="clear" w:color="auto" w:fill="D9D9D9"/>
            <w:vAlign w:val="center"/>
          </w:tcPr>
          <w:p w:rsidR="00EA385D" w:rsidRPr="00CF0807" w:rsidRDefault="00EA385D" w:rsidP="00EA385D">
            <w:pPr>
              <w:spacing w:before="40" w:after="20"/>
              <w:ind w:left="-57" w:right="57"/>
              <w:jc w:val="right"/>
              <w:rPr>
                <w:rFonts w:ascii="Arial Narrow" w:hAnsi="Arial Narrow" w:cs="Arial"/>
                <w:b/>
                <w:bCs/>
                <w:sz w:val="18"/>
                <w:szCs w:val="18"/>
              </w:rPr>
            </w:pPr>
          </w:p>
        </w:tc>
      </w:tr>
      <w:tr w:rsidR="00B65833" w:rsidRPr="00C8504B" w:rsidTr="00B65833">
        <w:tblPrEx>
          <w:tblCellMar>
            <w:right w:w="70" w:type="dxa"/>
          </w:tblCellMar>
        </w:tblPrEx>
        <w:trPr>
          <w:trHeight w:val="255"/>
        </w:trPr>
        <w:tc>
          <w:tcPr>
            <w:tcW w:w="2698" w:type="dxa"/>
            <w:vAlign w:val="center"/>
          </w:tcPr>
          <w:p w:rsidR="00B65833" w:rsidRPr="00C8504B" w:rsidRDefault="00B65833" w:rsidP="00B65833">
            <w:pPr>
              <w:spacing w:before="40" w:after="20"/>
              <w:ind w:left="-57"/>
              <w:rPr>
                <w:rFonts w:ascii="Arial Narrow" w:hAnsi="Arial Narrow" w:cs="Arial"/>
                <w:sz w:val="18"/>
                <w:szCs w:val="18"/>
              </w:rPr>
            </w:pPr>
            <w:r w:rsidRPr="00C8504B">
              <w:rPr>
                <w:rFonts w:ascii="Arial Narrow" w:hAnsi="Arial Narrow" w:cs="Arial"/>
                <w:sz w:val="18"/>
                <w:szCs w:val="18"/>
              </w:rPr>
              <w:t>Beni non regolamentati</w:t>
            </w:r>
          </w:p>
        </w:tc>
        <w:tc>
          <w:tcPr>
            <w:tcW w:w="988"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538.587</w:t>
            </w:r>
          </w:p>
        </w:tc>
        <w:tc>
          <w:tcPr>
            <w:tcW w:w="1064" w:type="dxa"/>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+1,1</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+0,7</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+4,1</w:t>
            </w:r>
          </w:p>
        </w:tc>
        <w:tc>
          <w:tcPr>
            <w:tcW w:w="966"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+3,6</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2,161</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+3,0</w:t>
            </w:r>
          </w:p>
        </w:tc>
      </w:tr>
      <w:tr w:rsidR="00B65833" w:rsidRPr="00C8504B" w:rsidTr="00B65833">
        <w:tblPrEx>
          <w:tblCellMar>
            <w:right w:w="70" w:type="dxa"/>
          </w:tblCellMar>
        </w:tblPrEx>
        <w:trPr>
          <w:trHeight w:val="255"/>
        </w:trPr>
        <w:tc>
          <w:tcPr>
            <w:tcW w:w="2698" w:type="dxa"/>
            <w:vAlign w:val="center"/>
          </w:tcPr>
          <w:p w:rsidR="00B65833" w:rsidRPr="00C8504B" w:rsidRDefault="00B65833" w:rsidP="00B65833">
            <w:pPr>
              <w:spacing w:before="40" w:after="20"/>
              <w:ind w:left="-57"/>
              <w:rPr>
                <w:rFonts w:ascii="Arial Narrow" w:hAnsi="Arial Narrow" w:cs="Arial"/>
                <w:sz w:val="18"/>
                <w:szCs w:val="18"/>
              </w:rPr>
            </w:pPr>
            <w:r w:rsidRPr="00C8504B">
              <w:rPr>
                <w:rFonts w:ascii="Arial Narrow" w:hAnsi="Arial Narrow" w:cs="Arial"/>
                <w:sz w:val="18"/>
                <w:szCs w:val="18"/>
              </w:rPr>
              <w:t>Beni regolamentati, di cui:</w:t>
            </w:r>
          </w:p>
        </w:tc>
        <w:tc>
          <w:tcPr>
            <w:tcW w:w="988"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42.599</w:t>
            </w:r>
          </w:p>
        </w:tc>
        <w:tc>
          <w:tcPr>
            <w:tcW w:w="1064" w:type="dxa"/>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+18,0</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+2,9</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+40,7</w:t>
            </w:r>
          </w:p>
        </w:tc>
        <w:tc>
          <w:tcPr>
            <w:tcW w:w="966"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+22,7</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1,896</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+30,9</w:t>
            </w:r>
          </w:p>
        </w:tc>
      </w:tr>
      <w:tr w:rsidR="00B65833" w:rsidRPr="00E92779" w:rsidTr="00B65833">
        <w:tblPrEx>
          <w:tblCellMar>
            <w:right w:w="70" w:type="dxa"/>
          </w:tblCellMar>
        </w:tblPrEx>
        <w:trPr>
          <w:trHeight w:val="255"/>
        </w:trPr>
        <w:tc>
          <w:tcPr>
            <w:tcW w:w="2698" w:type="dxa"/>
          </w:tcPr>
          <w:p w:rsidR="00B65833" w:rsidRPr="00E92779" w:rsidRDefault="00B65833" w:rsidP="00B65833">
            <w:pPr>
              <w:spacing w:before="40" w:after="20"/>
              <w:ind w:left="-57"/>
              <w:rPr>
                <w:rFonts w:ascii="Arial Narrow" w:hAnsi="Arial Narrow" w:cs="Arial"/>
                <w:sz w:val="18"/>
                <w:szCs w:val="18"/>
              </w:rPr>
            </w:pPr>
            <w:r w:rsidRPr="00E92779">
              <w:rPr>
                <w:rFonts w:ascii="Arial Narrow" w:hAnsi="Arial Narrow" w:cs="Arial"/>
                <w:sz w:val="18"/>
                <w:szCs w:val="18"/>
              </w:rPr>
              <w:t xml:space="preserve">   Energetici regolamentati </w:t>
            </w:r>
          </w:p>
        </w:tc>
        <w:tc>
          <w:tcPr>
            <w:tcW w:w="988"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17.411</w:t>
            </w:r>
          </w:p>
        </w:tc>
        <w:tc>
          <w:tcPr>
            <w:tcW w:w="1064" w:type="dxa"/>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+43,8</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+4,8</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+94,6</w:t>
            </w:r>
          </w:p>
        </w:tc>
        <w:tc>
          <w:tcPr>
            <w:tcW w:w="966"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+41,9</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1,895</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+71,3</w:t>
            </w:r>
          </w:p>
        </w:tc>
      </w:tr>
      <w:tr w:rsidR="00B65833" w:rsidRPr="00E92779" w:rsidTr="00B65833">
        <w:tblPrEx>
          <w:tblCellMar>
            <w:right w:w="70" w:type="dxa"/>
          </w:tblCellMar>
        </w:tblPrEx>
        <w:trPr>
          <w:trHeight w:val="255"/>
        </w:trPr>
        <w:tc>
          <w:tcPr>
            <w:tcW w:w="2698" w:type="dxa"/>
          </w:tcPr>
          <w:p w:rsidR="00B65833" w:rsidRPr="00E92779" w:rsidRDefault="00B65833" w:rsidP="00B65833">
            <w:pPr>
              <w:spacing w:before="40" w:after="20"/>
              <w:ind w:left="-57"/>
              <w:rPr>
                <w:rFonts w:ascii="Arial Narrow" w:hAnsi="Arial Narrow" w:cs="Arial"/>
                <w:sz w:val="18"/>
                <w:szCs w:val="18"/>
              </w:rPr>
            </w:pPr>
            <w:r w:rsidRPr="00E92779">
              <w:rPr>
                <w:rFonts w:ascii="Arial Narrow" w:hAnsi="Arial Narrow" w:cs="Arial"/>
                <w:sz w:val="18"/>
                <w:szCs w:val="18"/>
              </w:rPr>
              <w:t xml:space="preserve">   Altri beni regolamentati</w:t>
            </w:r>
          </w:p>
        </w:tc>
        <w:tc>
          <w:tcPr>
            <w:tcW w:w="988"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25.188</w:t>
            </w:r>
          </w:p>
        </w:tc>
        <w:tc>
          <w:tcPr>
            <w:tcW w:w="1064" w:type="dxa"/>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+0,1</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+0,7</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0,0</w:t>
            </w:r>
          </w:p>
        </w:tc>
        <w:tc>
          <w:tcPr>
            <w:tcW w:w="966"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+0,6</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0,001</w:t>
            </w:r>
          </w:p>
        </w:tc>
        <w:tc>
          <w:tcPr>
            <w:tcW w:w="992" w:type="dxa"/>
            <w:shd w:val="clear" w:color="auto" w:fill="D9D9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-0,1</w:t>
            </w:r>
          </w:p>
        </w:tc>
      </w:tr>
      <w:tr w:rsidR="00B65833" w:rsidRPr="00AC07E2" w:rsidTr="00B65833">
        <w:tblPrEx>
          <w:tblCellMar>
            <w:right w:w="70" w:type="dxa"/>
          </w:tblCellMar>
        </w:tblPrEx>
        <w:trPr>
          <w:trHeight w:val="255"/>
        </w:trPr>
        <w:tc>
          <w:tcPr>
            <w:tcW w:w="2698" w:type="dxa"/>
            <w:shd w:val="clear" w:color="auto" w:fill="808080" w:themeFill="background1" w:themeFillShade="80"/>
          </w:tcPr>
          <w:p w:rsidR="00B65833" w:rsidRPr="00E92779" w:rsidRDefault="00B65833" w:rsidP="00B65833">
            <w:pPr>
              <w:spacing w:before="40" w:after="20"/>
              <w:rPr>
                <w:rFonts w:ascii="Arial Narrow" w:hAnsi="Arial Narrow" w:cs="Arial"/>
                <w:b/>
                <w:bCs/>
                <w:color w:val="FFFFFF"/>
                <w:sz w:val="18"/>
                <w:szCs w:val="18"/>
              </w:rPr>
            </w:pPr>
            <w:r w:rsidRPr="00E92779">
              <w:rPr>
                <w:rFonts w:ascii="Arial Narrow" w:hAnsi="Arial Narrow" w:cs="Arial"/>
                <w:b/>
                <w:bCs/>
                <w:color w:val="FFFFFF"/>
                <w:sz w:val="18"/>
                <w:szCs w:val="18"/>
              </w:rPr>
              <w:t>Beni</w:t>
            </w:r>
          </w:p>
        </w:tc>
        <w:tc>
          <w:tcPr>
            <w:tcW w:w="988"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581.186</w:t>
            </w:r>
          </w:p>
        </w:tc>
        <w:tc>
          <w:tcPr>
            <w:tcW w:w="1064"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+2,4</w:t>
            </w:r>
          </w:p>
        </w:tc>
        <w:tc>
          <w:tcPr>
            <w:tcW w:w="992"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+1,0</w:t>
            </w:r>
          </w:p>
        </w:tc>
        <w:tc>
          <w:tcPr>
            <w:tcW w:w="993"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+7,0</w:t>
            </w:r>
          </w:p>
        </w:tc>
        <w:tc>
          <w:tcPr>
            <w:tcW w:w="966"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+5,5</w:t>
            </w:r>
          </w:p>
        </w:tc>
        <w:tc>
          <w:tcPr>
            <w:tcW w:w="1585"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4,058</w:t>
            </w:r>
          </w:p>
        </w:tc>
        <w:tc>
          <w:tcPr>
            <w:tcW w:w="992" w:type="dxa"/>
            <w:shd w:val="clear" w:color="auto" w:fill="808080" w:themeFill="background1" w:themeFillShade="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+5,3</w:t>
            </w:r>
          </w:p>
        </w:tc>
      </w:tr>
      <w:tr w:rsidR="00B65833" w:rsidRPr="00524BE4" w:rsidTr="00B65833">
        <w:tblPrEx>
          <w:tblCellMar>
            <w:right w:w="70" w:type="dxa"/>
          </w:tblCellMar>
        </w:tblPrEx>
        <w:trPr>
          <w:trHeight w:val="255"/>
        </w:trPr>
        <w:tc>
          <w:tcPr>
            <w:tcW w:w="2698" w:type="dxa"/>
            <w:shd w:val="clear" w:color="auto" w:fill="auto"/>
            <w:vAlign w:val="center"/>
          </w:tcPr>
          <w:p w:rsidR="00B65833" w:rsidRPr="00C8504B" w:rsidRDefault="00B65833" w:rsidP="00B65833">
            <w:pPr>
              <w:spacing w:before="40" w:after="20"/>
              <w:ind w:left="-57"/>
              <w:rPr>
                <w:rFonts w:ascii="Arial Narrow" w:hAnsi="Arial Narrow" w:cs="Arial"/>
                <w:sz w:val="18"/>
                <w:szCs w:val="18"/>
              </w:rPr>
            </w:pPr>
            <w:r w:rsidRPr="00C8504B">
              <w:rPr>
                <w:rFonts w:ascii="Arial Narrow" w:hAnsi="Arial Narrow" w:cs="Arial"/>
                <w:sz w:val="18"/>
                <w:szCs w:val="18"/>
              </w:rPr>
              <w:t>Servizi non regolamentati</w:t>
            </w:r>
          </w:p>
        </w:tc>
        <w:tc>
          <w:tcPr>
            <w:tcW w:w="988"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363.774</w:t>
            </w:r>
          </w:p>
        </w:tc>
        <w:tc>
          <w:tcPr>
            <w:tcW w:w="1064"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+0,3</w:t>
            </w:r>
          </w:p>
        </w:tc>
        <w:tc>
          <w:tcPr>
            <w:tcW w:w="992"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+0,1</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+1,9</w:t>
            </w:r>
          </w:p>
        </w:tc>
        <w:tc>
          <w:tcPr>
            <w:tcW w:w="966"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+1,7</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0,693</w:t>
            </w:r>
          </w:p>
        </w:tc>
        <w:tc>
          <w:tcPr>
            <w:tcW w:w="992"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+0,9</w:t>
            </w:r>
          </w:p>
        </w:tc>
      </w:tr>
      <w:tr w:rsidR="00B65833" w:rsidRPr="00524BE4" w:rsidTr="00B65833">
        <w:tblPrEx>
          <w:tblCellMar>
            <w:right w:w="70" w:type="dxa"/>
          </w:tblCellMar>
        </w:tblPrEx>
        <w:trPr>
          <w:trHeight w:val="255"/>
        </w:trPr>
        <w:tc>
          <w:tcPr>
            <w:tcW w:w="2698" w:type="dxa"/>
            <w:shd w:val="clear" w:color="auto" w:fill="auto"/>
            <w:vAlign w:val="center"/>
          </w:tcPr>
          <w:p w:rsidR="00B65833" w:rsidRPr="00C8504B" w:rsidRDefault="00B65833" w:rsidP="00B65833">
            <w:pPr>
              <w:spacing w:before="40" w:after="20"/>
              <w:ind w:left="-57"/>
              <w:rPr>
                <w:rFonts w:ascii="Arial Narrow" w:hAnsi="Arial Narrow" w:cs="Arial"/>
                <w:sz w:val="18"/>
                <w:szCs w:val="18"/>
              </w:rPr>
            </w:pPr>
            <w:r w:rsidRPr="00C8504B">
              <w:rPr>
                <w:rFonts w:ascii="Arial Narrow" w:hAnsi="Arial Narrow" w:cs="Arial"/>
                <w:sz w:val="18"/>
                <w:szCs w:val="18"/>
              </w:rPr>
              <w:t>Servizi regolamentati</w:t>
            </w:r>
          </w:p>
        </w:tc>
        <w:tc>
          <w:tcPr>
            <w:tcW w:w="988"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55.040</w:t>
            </w:r>
          </w:p>
        </w:tc>
        <w:tc>
          <w:tcPr>
            <w:tcW w:w="1064"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+0,2</w:t>
            </w:r>
          </w:p>
        </w:tc>
        <w:tc>
          <w:tcPr>
            <w:tcW w:w="992"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+0,4</w:t>
            </w:r>
          </w:p>
        </w:tc>
        <w:tc>
          <w:tcPr>
            <w:tcW w:w="993"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+1,8</w:t>
            </w:r>
          </w:p>
        </w:tc>
        <w:tc>
          <w:tcPr>
            <w:tcW w:w="966"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+2,0</w:t>
            </w:r>
          </w:p>
        </w:tc>
        <w:tc>
          <w:tcPr>
            <w:tcW w:w="1585" w:type="dxa"/>
            <w:shd w:val="clear" w:color="auto" w:fill="auto"/>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0,099</w:t>
            </w:r>
          </w:p>
        </w:tc>
        <w:tc>
          <w:tcPr>
            <w:tcW w:w="992" w:type="dxa"/>
            <w:shd w:val="clear" w:color="auto" w:fill="D9D9D9" w:themeFill="background1" w:themeFillShade="D9"/>
            <w:vAlign w:val="center"/>
          </w:tcPr>
          <w:p w:rsidR="00B65833" w:rsidRPr="00B65833" w:rsidRDefault="00B65833" w:rsidP="00B65833">
            <w:pPr>
              <w:spacing w:before="40" w:after="20"/>
              <w:ind w:left="-57"/>
              <w:jc w:val="right"/>
              <w:rPr>
                <w:rFonts w:ascii="Arial Narrow" w:hAnsi="Arial Narrow" w:cs="Arial"/>
                <w:sz w:val="18"/>
                <w:szCs w:val="18"/>
              </w:rPr>
            </w:pPr>
            <w:r w:rsidRPr="00B65833">
              <w:rPr>
                <w:rFonts w:ascii="Arial Narrow" w:hAnsi="Arial Narrow" w:cs="Arial"/>
                <w:sz w:val="18"/>
                <w:szCs w:val="18"/>
              </w:rPr>
              <w:t>+1,3</w:t>
            </w:r>
          </w:p>
        </w:tc>
      </w:tr>
      <w:tr w:rsidR="00B65833" w:rsidRPr="00CF6371" w:rsidTr="00B65833">
        <w:tblPrEx>
          <w:tblCellMar>
            <w:right w:w="70" w:type="dxa"/>
          </w:tblCellMar>
        </w:tblPrEx>
        <w:trPr>
          <w:trHeight w:val="255"/>
        </w:trPr>
        <w:tc>
          <w:tcPr>
            <w:tcW w:w="2698" w:type="dxa"/>
            <w:shd w:val="clear" w:color="auto" w:fill="808080"/>
            <w:vAlign w:val="center"/>
          </w:tcPr>
          <w:p w:rsidR="00B65833" w:rsidRPr="00C8504B" w:rsidRDefault="00B65833" w:rsidP="00B65833">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88"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418.814</w:t>
            </w:r>
          </w:p>
        </w:tc>
        <w:tc>
          <w:tcPr>
            <w:tcW w:w="1064"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+0,3</w:t>
            </w:r>
          </w:p>
        </w:tc>
        <w:tc>
          <w:tcPr>
            <w:tcW w:w="992"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+0,2</w:t>
            </w:r>
          </w:p>
        </w:tc>
        <w:tc>
          <w:tcPr>
            <w:tcW w:w="993"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+1,8</w:t>
            </w:r>
          </w:p>
        </w:tc>
        <w:tc>
          <w:tcPr>
            <w:tcW w:w="966"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+1,7</w:t>
            </w:r>
          </w:p>
        </w:tc>
        <w:tc>
          <w:tcPr>
            <w:tcW w:w="1585"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0,792</w:t>
            </w:r>
          </w:p>
        </w:tc>
        <w:tc>
          <w:tcPr>
            <w:tcW w:w="992" w:type="dxa"/>
            <w:shd w:val="clear" w:color="auto" w:fill="808080"/>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+0,9</w:t>
            </w:r>
          </w:p>
        </w:tc>
      </w:tr>
      <w:tr w:rsidR="00B65833" w:rsidRPr="00CF6371" w:rsidTr="00B65833">
        <w:tblPrEx>
          <w:tblCellMar>
            <w:right w:w="70" w:type="dxa"/>
          </w:tblCellMar>
        </w:tblPrEx>
        <w:trPr>
          <w:trHeight w:val="255"/>
        </w:trPr>
        <w:tc>
          <w:tcPr>
            <w:tcW w:w="2698" w:type="dxa"/>
            <w:shd w:val="clear" w:color="auto" w:fill="E42618"/>
            <w:vAlign w:val="center"/>
          </w:tcPr>
          <w:p w:rsidR="00B65833" w:rsidRPr="00C8504B" w:rsidRDefault="00B65833" w:rsidP="00B65833">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88"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1.000.000</w:t>
            </w:r>
          </w:p>
        </w:tc>
        <w:tc>
          <w:tcPr>
            <w:tcW w:w="1064"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+1,6</w:t>
            </w:r>
          </w:p>
        </w:tc>
        <w:tc>
          <w:tcPr>
            <w:tcW w:w="992"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+0,7</w:t>
            </w:r>
          </w:p>
        </w:tc>
        <w:tc>
          <w:tcPr>
            <w:tcW w:w="993"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+4,8</w:t>
            </w:r>
          </w:p>
        </w:tc>
        <w:tc>
          <w:tcPr>
            <w:tcW w:w="966"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+3,9</w:t>
            </w:r>
          </w:p>
        </w:tc>
        <w:tc>
          <w:tcPr>
            <w:tcW w:w="1585"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p>
        </w:tc>
        <w:tc>
          <w:tcPr>
            <w:tcW w:w="992" w:type="dxa"/>
            <w:shd w:val="clear" w:color="auto" w:fill="E42618"/>
            <w:vAlign w:val="center"/>
          </w:tcPr>
          <w:p w:rsidR="00B65833" w:rsidRPr="00B65833" w:rsidRDefault="00B65833" w:rsidP="00B65833">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+3,4</w:t>
            </w:r>
          </w:p>
        </w:tc>
      </w:tr>
    </w:tbl>
    <w:p w:rsidR="003232CA" w:rsidRDefault="003232CA" w:rsidP="003232CA">
      <w:pPr>
        <w:spacing w:before="60" w:after="120"/>
        <w:rPr>
          <w:szCs w:val="26"/>
        </w:rPr>
      </w:pPr>
    </w:p>
    <w:p w:rsidR="00934CC5" w:rsidRPr="00566441" w:rsidRDefault="00934CC5" w:rsidP="003232CA">
      <w:pPr>
        <w:spacing w:before="60" w:after="120"/>
        <w:rPr>
          <w:szCs w:val="26"/>
        </w:rPr>
      </w:pPr>
    </w:p>
    <w:p w:rsidR="00F24676" w:rsidRPr="00C8504B" w:rsidRDefault="00F24676" w:rsidP="00F24676">
      <w:pPr>
        <w:pStyle w:val="001TitoloBolocco"/>
        <w:spacing w:after="120" w:line="240" w:lineRule="auto"/>
        <w:rPr>
          <w:szCs w:val="26"/>
        </w:rPr>
      </w:pPr>
      <w:r w:rsidRPr="00C8504B">
        <w:rPr>
          <w:szCs w:val="26"/>
        </w:rPr>
        <w:t>I prodotti per frequenza di acquisto</w:t>
      </w:r>
    </w:p>
    <w:p w:rsidR="00B87271" w:rsidRPr="00566441" w:rsidRDefault="00B87271" w:rsidP="00566441">
      <w:pPr>
        <w:spacing w:before="0" w:after="120"/>
        <w:rPr>
          <w:szCs w:val="26"/>
        </w:rPr>
      </w:pPr>
    </w:p>
    <w:p w:rsidR="00A6652B" w:rsidRPr="00C8504B" w:rsidRDefault="00A6652B" w:rsidP="00A6652B">
      <w:pPr>
        <w:pStyle w:val="Corpotesto"/>
        <w:spacing w:after="120" w:line="240" w:lineRule="auto"/>
        <w:jc w:val="both"/>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5</w:t>
      </w:r>
      <w:r w:rsidRPr="00C8504B">
        <w:rPr>
          <w:rFonts w:ascii="Arial Narrow" w:hAnsi="Arial Narrow" w:cs="Arial"/>
          <w:b/>
          <w:color w:val="E42618"/>
          <w:kern w:val="0"/>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 xml:space="preserve">INDICI DEI </w:t>
      </w:r>
      <w:r w:rsidRPr="00752767">
        <w:rPr>
          <w:rFonts w:ascii="Arial Narrow" w:hAnsi="Arial Narrow" w:cs="Calibri"/>
          <w:b/>
          <w:bCs/>
          <w:color w:val="5F5F5F"/>
          <w:kern w:val="0"/>
          <w:sz w:val="22"/>
          <w:szCs w:val="22"/>
        </w:rPr>
        <w:t>PREZZI AL CONSUMO NIC PER PRODOTTI</w:t>
      </w:r>
      <w:r w:rsidRPr="00C8504B">
        <w:rPr>
          <w:rFonts w:ascii="Arial Narrow" w:hAnsi="Arial Narrow" w:cs="Calibri"/>
          <w:b/>
          <w:bCs/>
          <w:color w:val="5F5F5F"/>
          <w:kern w:val="0"/>
          <w:sz w:val="22"/>
          <w:szCs w:val="22"/>
        </w:rPr>
        <w:t xml:space="preserve"> A DIVERSA FREQUENZA DI ACQUISTO</w:t>
      </w:r>
      <w:r w:rsidRPr="00C8504B">
        <w:rPr>
          <w:rFonts w:ascii="Arial Narrow" w:hAnsi="Arial Narrow" w:cs="Arial"/>
          <w:b/>
          <w:color w:val="5F5F5F"/>
          <w:sz w:val="22"/>
          <w:szCs w:val="22"/>
        </w:rPr>
        <w:br/>
      </w:r>
      <w:r w:rsidR="005B7BD6" w:rsidRPr="005B7BD6">
        <w:rPr>
          <w:rFonts w:ascii="Arial Narrow" w:hAnsi="Arial Narrow" w:cs="Arial"/>
          <w:color w:val="5F5F5F"/>
        </w:rPr>
        <w:t>Gennaio 2022</w:t>
      </w:r>
      <w:r w:rsidRPr="00C8504B">
        <w:rPr>
          <w:rFonts w:ascii="Arial Narrow" w:hAnsi="Arial Narrow" w:cs="Arial"/>
          <w:color w:val="5F5F5F"/>
        </w:rPr>
        <w:t xml:space="preserve">, pesi, variazioni percentuali </w:t>
      </w:r>
      <w:r w:rsidR="009E7068"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e contributi alla variazione tendenziale dell’</w:t>
      </w:r>
      <w:r w:rsidR="007758FD" w:rsidRPr="00C8504B">
        <w:rPr>
          <w:rFonts w:ascii="Arial Narrow" w:hAnsi="Arial Narrow" w:cs="Arial"/>
          <w:color w:val="5F5F5F"/>
        </w:rPr>
        <w:t>indice generale (base 2015=100)</w:t>
      </w:r>
    </w:p>
    <w:tbl>
      <w:tblPr>
        <w:tblW w:w="10086" w:type="dxa"/>
        <w:jc w:val="center"/>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1882"/>
        <w:gridCol w:w="1189"/>
        <w:gridCol w:w="1118"/>
        <w:gridCol w:w="1117"/>
        <w:gridCol w:w="1014"/>
        <w:gridCol w:w="1094"/>
        <w:gridCol w:w="40"/>
        <w:gridCol w:w="1577"/>
        <w:gridCol w:w="1055"/>
      </w:tblGrid>
      <w:tr w:rsidR="00FD0188" w:rsidRPr="00C8504B" w:rsidTr="00631826">
        <w:trPr>
          <w:trHeight w:val="347"/>
          <w:jc w:val="center"/>
        </w:trPr>
        <w:tc>
          <w:tcPr>
            <w:tcW w:w="1882" w:type="dxa"/>
            <w:vMerge w:val="restart"/>
            <w:vAlign w:val="center"/>
          </w:tcPr>
          <w:p w:rsidR="00FD0188" w:rsidRPr="00C8504B" w:rsidRDefault="00FD0188" w:rsidP="00FD0188">
            <w:pPr>
              <w:spacing w:before="40" w:after="20"/>
              <w:ind w:left="-57"/>
              <w:rPr>
                <w:rFonts w:ascii="Arial Narrow" w:hAnsi="Arial Narrow" w:cs="Arial"/>
                <w:sz w:val="18"/>
                <w:szCs w:val="18"/>
              </w:rPr>
            </w:pPr>
            <w:r w:rsidRPr="00C8504B">
              <w:rPr>
                <w:rFonts w:ascii="Arial Narrow" w:hAnsi="Arial Narrow" w:cs="Arial"/>
                <w:b/>
                <w:bCs/>
                <w:sz w:val="18"/>
                <w:szCs w:val="18"/>
              </w:rPr>
              <w:t>TIPOLOGIE DI PRODOTTO</w:t>
            </w:r>
          </w:p>
        </w:tc>
        <w:tc>
          <w:tcPr>
            <w:tcW w:w="1189" w:type="dxa"/>
            <w:vMerge w:val="restart"/>
            <w:shd w:val="clear" w:color="auto" w:fill="D9D9D9" w:themeFill="background1" w:themeFillShade="D9"/>
            <w:vAlign w:val="center"/>
          </w:tcPr>
          <w:p w:rsidR="00FD0188" w:rsidRPr="00C8504B" w:rsidRDefault="00FD0188" w:rsidP="00FD0188">
            <w:pPr>
              <w:spacing w:before="40" w:after="20"/>
              <w:ind w:right="57"/>
              <w:jc w:val="right"/>
              <w:rPr>
                <w:rFonts w:ascii="Arial Narrow" w:hAnsi="Arial Narrow" w:cs="Arial"/>
                <w:sz w:val="18"/>
                <w:szCs w:val="18"/>
              </w:rPr>
            </w:pPr>
            <w:r w:rsidRPr="00C8504B">
              <w:rPr>
                <w:rFonts w:ascii="Arial Narrow" w:hAnsi="Arial Narrow" w:cs="Arial"/>
                <w:b/>
                <w:bCs/>
                <w:sz w:val="18"/>
                <w:szCs w:val="18"/>
              </w:rPr>
              <w:t>Pesi</w:t>
            </w:r>
          </w:p>
        </w:tc>
        <w:tc>
          <w:tcPr>
            <w:tcW w:w="2235" w:type="dxa"/>
            <w:gridSpan w:val="2"/>
            <w:vAlign w:val="center"/>
          </w:tcPr>
          <w:p w:rsidR="00FD0188" w:rsidRPr="00C8504B" w:rsidRDefault="00FD0188" w:rsidP="00FD0188">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2108" w:type="dxa"/>
            <w:gridSpan w:val="2"/>
            <w:shd w:val="clear" w:color="auto" w:fill="D9D9D9"/>
            <w:vAlign w:val="center"/>
          </w:tcPr>
          <w:p w:rsidR="00FD0188" w:rsidRPr="00C8504B" w:rsidRDefault="00FD0188" w:rsidP="00FD0188">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617" w:type="dxa"/>
            <w:gridSpan w:val="2"/>
            <w:vMerge w:val="restart"/>
            <w:shd w:val="clear" w:color="auto" w:fill="auto"/>
            <w:vAlign w:val="center"/>
          </w:tcPr>
          <w:p w:rsidR="00FD0188" w:rsidRPr="00C8504B" w:rsidRDefault="00FD0188" w:rsidP="00FD0188">
            <w:pPr>
              <w:spacing w:before="40" w:after="20"/>
              <w:ind w:left="-46" w:right="57"/>
              <w:jc w:val="right"/>
              <w:rPr>
                <w:rFonts w:ascii="Arial Narrow" w:hAnsi="Arial Narrow" w:cs="Arial"/>
                <w:sz w:val="18"/>
                <w:szCs w:val="18"/>
                <w:highlight w:val="yellow"/>
              </w:rPr>
            </w:pPr>
            <w:r w:rsidRPr="00C8504B">
              <w:rPr>
                <w:rFonts w:ascii="Arial Narrow" w:hAnsi="Arial Narrow" w:cs="Arial"/>
                <w:b/>
                <w:bCs/>
                <w:sz w:val="18"/>
                <w:szCs w:val="18"/>
              </w:rPr>
              <w:t>Contributo alla variazione tendenziale dell’indice generale</w:t>
            </w:r>
          </w:p>
        </w:tc>
        <w:tc>
          <w:tcPr>
            <w:tcW w:w="1055" w:type="dxa"/>
            <w:vMerge w:val="restart"/>
            <w:shd w:val="clear" w:color="auto" w:fill="D9D9D9"/>
            <w:vAlign w:val="center"/>
          </w:tcPr>
          <w:p w:rsidR="00FD0188" w:rsidRPr="00C8504B" w:rsidRDefault="00873EA2" w:rsidP="00FD0188">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gennaio</w:t>
            </w:r>
          </w:p>
        </w:tc>
      </w:tr>
      <w:tr w:rsidR="00EA385D" w:rsidRPr="00AF7AF5" w:rsidTr="00476619">
        <w:trPr>
          <w:trHeight w:val="346"/>
          <w:jc w:val="center"/>
        </w:trPr>
        <w:tc>
          <w:tcPr>
            <w:tcW w:w="1882" w:type="dxa"/>
            <w:vMerge/>
            <w:vAlign w:val="center"/>
          </w:tcPr>
          <w:p w:rsidR="00EA385D" w:rsidRPr="00C8504B" w:rsidRDefault="00EA385D" w:rsidP="00EA385D">
            <w:pPr>
              <w:spacing w:before="40" w:after="20"/>
              <w:ind w:left="-57"/>
              <w:rPr>
                <w:rFonts w:ascii="Arial Narrow" w:hAnsi="Arial Narrow" w:cs="Arial"/>
                <w:b/>
                <w:bCs/>
                <w:sz w:val="18"/>
                <w:szCs w:val="18"/>
              </w:rPr>
            </w:pPr>
          </w:p>
        </w:tc>
        <w:tc>
          <w:tcPr>
            <w:tcW w:w="1189" w:type="dxa"/>
            <w:vMerge/>
            <w:shd w:val="clear" w:color="auto" w:fill="D9D9D9" w:themeFill="background1" w:themeFillShade="D9"/>
            <w:vAlign w:val="center"/>
          </w:tcPr>
          <w:p w:rsidR="00EA385D" w:rsidRPr="00C8504B" w:rsidRDefault="00EA385D" w:rsidP="00EA385D">
            <w:pPr>
              <w:spacing w:before="40" w:after="20"/>
              <w:ind w:right="57"/>
              <w:jc w:val="right"/>
              <w:rPr>
                <w:rFonts w:ascii="Arial Narrow" w:hAnsi="Arial Narrow" w:cs="Arial"/>
                <w:b/>
                <w:bCs/>
                <w:sz w:val="18"/>
                <w:szCs w:val="18"/>
              </w:rPr>
            </w:pPr>
          </w:p>
        </w:tc>
        <w:tc>
          <w:tcPr>
            <w:tcW w:w="1118"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E03E58" w:rsidRDefault="00EA385D" w:rsidP="00EA385D">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dic-21</w:t>
            </w:r>
          </w:p>
        </w:tc>
        <w:tc>
          <w:tcPr>
            <w:tcW w:w="1117"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014"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gen-21</w:t>
            </w:r>
          </w:p>
        </w:tc>
        <w:tc>
          <w:tcPr>
            <w:tcW w:w="1094"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617" w:type="dxa"/>
            <w:gridSpan w:val="2"/>
            <w:vMerge/>
            <w:shd w:val="clear" w:color="auto" w:fill="auto"/>
            <w:vAlign w:val="center"/>
          </w:tcPr>
          <w:p w:rsidR="00EA385D" w:rsidRPr="00C8504B" w:rsidRDefault="00EA385D" w:rsidP="00EA385D">
            <w:pPr>
              <w:spacing w:before="40" w:after="20"/>
              <w:ind w:left="-46" w:right="57"/>
              <w:jc w:val="right"/>
              <w:rPr>
                <w:rFonts w:ascii="Arial Narrow" w:hAnsi="Arial Narrow" w:cs="Arial"/>
                <w:b/>
                <w:bCs/>
                <w:snapToGrid w:val="0"/>
                <w:sz w:val="18"/>
                <w:szCs w:val="18"/>
              </w:rPr>
            </w:pPr>
          </w:p>
        </w:tc>
        <w:tc>
          <w:tcPr>
            <w:tcW w:w="1055" w:type="dxa"/>
            <w:vMerge/>
            <w:shd w:val="clear" w:color="auto" w:fill="D9D9D9"/>
            <w:vAlign w:val="center"/>
          </w:tcPr>
          <w:p w:rsidR="00EA385D" w:rsidRPr="00C8504B" w:rsidRDefault="00EA385D" w:rsidP="00EA385D">
            <w:pPr>
              <w:spacing w:before="40" w:after="20"/>
              <w:ind w:right="57"/>
              <w:jc w:val="right"/>
              <w:rPr>
                <w:rFonts w:ascii="Arial Narrow" w:hAnsi="Arial Narrow" w:cs="Arial"/>
                <w:b/>
                <w:bCs/>
                <w:snapToGrid w:val="0"/>
                <w:sz w:val="18"/>
                <w:szCs w:val="18"/>
              </w:rPr>
            </w:pPr>
          </w:p>
        </w:tc>
      </w:tr>
      <w:tr w:rsidR="00622A93" w:rsidRPr="00C8504B" w:rsidTr="00622A93">
        <w:trPr>
          <w:trHeight w:val="134"/>
          <w:jc w:val="center"/>
        </w:trPr>
        <w:tc>
          <w:tcPr>
            <w:tcW w:w="1882" w:type="dxa"/>
            <w:vAlign w:val="center"/>
          </w:tcPr>
          <w:p w:rsidR="00622A93" w:rsidRPr="00C8504B" w:rsidRDefault="00622A93" w:rsidP="00622A93">
            <w:pPr>
              <w:spacing w:before="40" w:after="20"/>
              <w:ind w:left="-57"/>
              <w:rPr>
                <w:rFonts w:ascii="Arial Narrow" w:hAnsi="Arial Narrow" w:cs="Arial"/>
                <w:sz w:val="18"/>
                <w:szCs w:val="18"/>
              </w:rPr>
            </w:pPr>
            <w:r w:rsidRPr="00C8504B">
              <w:rPr>
                <w:rFonts w:ascii="Arial Narrow" w:hAnsi="Arial Narrow" w:cs="Arial"/>
                <w:sz w:val="18"/>
                <w:szCs w:val="18"/>
              </w:rPr>
              <w:t>Alta frequenza</w:t>
            </w:r>
          </w:p>
        </w:tc>
        <w:tc>
          <w:tcPr>
            <w:tcW w:w="1189"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414.890</w:t>
            </w:r>
          </w:p>
        </w:tc>
        <w:tc>
          <w:tcPr>
            <w:tcW w:w="1118"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+1,0</w:t>
            </w:r>
          </w:p>
        </w:tc>
        <w:tc>
          <w:tcPr>
            <w:tcW w:w="1117"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+0,8</w:t>
            </w:r>
          </w:p>
        </w:tc>
        <w:tc>
          <w:tcPr>
            <w:tcW w:w="1014"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+4,3</w:t>
            </w:r>
          </w:p>
        </w:tc>
        <w:tc>
          <w:tcPr>
            <w:tcW w:w="1134" w:type="dxa"/>
            <w:gridSpan w:val="2"/>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+4,0</w:t>
            </w:r>
          </w:p>
        </w:tc>
        <w:tc>
          <w:tcPr>
            <w:tcW w:w="1577" w:type="dxa"/>
            <w:shd w:val="clear" w:color="auto" w:fill="auto"/>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1,757</w:t>
            </w:r>
          </w:p>
        </w:tc>
        <w:tc>
          <w:tcPr>
            <w:tcW w:w="1055" w:type="dxa"/>
            <w:shd w:val="clear" w:color="auto" w:fill="D9D9D9"/>
            <w:tcMar>
              <w:right w:w="57" w:type="dxa"/>
            </w:tcMar>
            <w:vAlign w:val="center"/>
          </w:tcPr>
          <w:p w:rsidR="00622A93" w:rsidRPr="00622A93" w:rsidRDefault="00622A93" w:rsidP="00622A93">
            <w:pPr>
              <w:spacing w:before="40" w:after="20"/>
              <w:ind w:left="-57"/>
              <w:jc w:val="right"/>
              <w:rPr>
                <w:rFonts w:ascii="Arial Narrow" w:hAnsi="Arial Narrow" w:cs="Arial"/>
                <w:sz w:val="18"/>
                <w:szCs w:val="18"/>
              </w:rPr>
            </w:pPr>
            <w:r w:rsidRPr="00622A93">
              <w:rPr>
                <w:rFonts w:ascii="Arial Narrow" w:hAnsi="Arial Narrow" w:cs="Arial"/>
                <w:sz w:val="18"/>
                <w:szCs w:val="18"/>
              </w:rPr>
              <w:t>+2,8</w:t>
            </w:r>
          </w:p>
        </w:tc>
      </w:tr>
      <w:tr w:rsidR="00622A93" w:rsidRPr="00C8504B" w:rsidTr="00622A93">
        <w:trPr>
          <w:trHeight w:val="255"/>
          <w:jc w:val="center"/>
        </w:trPr>
        <w:tc>
          <w:tcPr>
            <w:tcW w:w="1882" w:type="dxa"/>
            <w:vAlign w:val="center"/>
          </w:tcPr>
          <w:p w:rsidR="00622A93" w:rsidRPr="00C8504B" w:rsidRDefault="00622A93" w:rsidP="00622A93">
            <w:pPr>
              <w:spacing w:before="40" w:after="20"/>
              <w:ind w:left="-57"/>
              <w:rPr>
                <w:rFonts w:ascii="Arial Narrow" w:hAnsi="Arial Narrow" w:cs="Arial"/>
                <w:sz w:val="18"/>
                <w:szCs w:val="18"/>
              </w:rPr>
            </w:pPr>
            <w:r w:rsidRPr="00C8504B">
              <w:rPr>
                <w:rFonts w:ascii="Arial Narrow" w:hAnsi="Arial Narrow" w:cs="Arial"/>
                <w:sz w:val="18"/>
                <w:szCs w:val="18"/>
              </w:rPr>
              <w:t xml:space="preserve">Media frequenza </w:t>
            </w:r>
          </w:p>
        </w:tc>
        <w:tc>
          <w:tcPr>
            <w:tcW w:w="1189"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387.426</w:t>
            </w:r>
          </w:p>
        </w:tc>
        <w:tc>
          <w:tcPr>
            <w:tcW w:w="1118"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+2,5</w:t>
            </w:r>
          </w:p>
        </w:tc>
        <w:tc>
          <w:tcPr>
            <w:tcW w:w="1117"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+0,4</w:t>
            </w:r>
          </w:p>
        </w:tc>
        <w:tc>
          <w:tcPr>
            <w:tcW w:w="1014"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+7,3</w:t>
            </w:r>
          </w:p>
        </w:tc>
        <w:tc>
          <w:tcPr>
            <w:tcW w:w="1134" w:type="dxa"/>
            <w:gridSpan w:val="2"/>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+5,1</w:t>
            </w:r>
          </w:p>
        </w:tc>
        <w:tc>
          <w:tcPr>
            <w:tcW w:w="1577" w:type="dxa"/>
            <w:shd w:val="clear" w:color="auto" w:fill="auto"/>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2,872</w:t>
            </w:r>
          </w:p>
        </w:tc>
        <w:tc>
          <w:tcPr>
            <w:tcW w:w="1055" w:type="dxa"/>
            <w:shd w:val="clear" w:color="auto" w:fill="D9D9D9"/>
            <w:tcMar>
              <w:right w:w="57" w:type="dxa"/>
            </w:tcMar>
            <w:vAlign w:val="center"/>
          </w:tcPr>
          <w:p w:rsidR="00622A93" w:rsidRPr="00622A93" w:rsidRDefault="00622A93" w:rsidP="00622A93">
            <w:pPr>
              <w:spacing w:before="40" w:after="20"/>
              <w:ind w:left="-57"/>
              <w:jc w:val="right"/>
              <w:rPr>
                <w:rFonts w:ascii="Arial Narrow" w:hAnsi="Arial Narrow" w:cs="Arial"/>
                <w:sz w:val="18"/>
                <w:szCs w:val="18"/>
              </w:rPr>
            </w:pPr>
            <w:r w:rsidRPr="00622A93">
              <w:rPr>
                <w:rFonts w:ascii="Arial Narrow" w:hAnsi="Arial Narrow" w:cs="Arial"/>
                <w:sz w:val="18"/>
                <w:szCs w:val="18"/>
              </w:rPr>
              <w:t>+5,3</w:t>
            </w:r>
          </w:p>
        </w:tc>
      </w:tr>
      <w:tr w:rsidR="00622A93" w:rsidRPr="00C8504B" w:rsidTr="00622A93">
        <w:trPr>
          <w:trHeight w:val="255"/>
          <w:jc w:val="center"/>
        </w:trPr>
        <w:tc>
          <w:tcPr>
            <w:tcW w:w="1882" w:type="dxa"/>
            <w:vAlign w:val="center"/>
          </w:tcPr>
          <w:p w:rsidR="00622A93" w:rsidRPr="00C8504B" w:rsidRDefault="00622A93" w:rsidP="00622A93">
            <w:pPr>
              <w:spacing w:before="40" w:after="20"/>
              <w:ind w:left="-57"/>
              <w:rPr>
                <w:rFonts w:ascii="Arial Narrow" w:hAnsi="Arial Narrow" w:cs="Arial"/>
                <w:sz w:val="18"/>
                <w:szCs w:val="18"/>
              </w:rPr>
            </w:pPr>
            <w:r w:rsidRPr="00C8504B">
              <w:rPr>
                <w:rFonts w:ascii="Arial Narrow" w:hAnsi="Arial Narrow" w:cs="Arial"/>
                <w:sz w:val="18"/>
                <w:szCs w:val="18"/>
              </w:rPr>
              <w:t xml:space="preserve">Bassa frequenza </w:t>
            </w:r>
          </w:p>
        </w:tc>
        <w:tc>
          <w:tcPr>
            <w:tcW w:w="1189"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197.684</w:t>
            </w:r>
          </w:p>
        </w:tc>
        <w:tc>
          <w:tcPr>
            <w:tcW w:w="1118"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+0,5</w:t>
            </w:r>
          </w:p>
        </w:tc>
        <w:tc>
          <w:tcPr>
            <w:tcW w:w="1117" w:type="dxa"/>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+0,6</w:t>
            </w:r>
          </w:p>
        </w:tc>
        <w:tc>
          <w:tcPr>
            <w:tcW w:w="1014" w:type="dxa"/>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+1,1</w:t>
            </w:r>
          </w:p>
        </w:tc>
        <w:tc>
          <w:tcPr>
            <w:tcW w:w="1134" w:type="dxa"/>
            <w:gridSpan w:val="2"/>
            <w:shd w:val="clear" w:color="auto" w:fill="D9D9D9"/>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+1,2</w:t>
            </w:r>
          </w:p>
        </w:tc>
        <w:tc>
          <w:tcPr>
            <w:tcW w:w="1577" w:type="dxa"/>
            <w:shd w:val="clear" w:color="auto" w:fill="auto"/>
            <w:vAlign w:val="center"/>
          </w:tcPr>
          <w:p w:rsidR="00622A93" w:rsidRPr="00622A93" w:rsidRDefault="00622A93" w:rsidP="00622A93">
            <w:pPr>
              <w:spacing w:before="40" w:after="20"/>
              <w:ind w:left="-57" w:right="57"/>
              <w:jc w:val="right"/>
              <w:rPr>
                <w:rFonts w:ascii="Arial Narrow" w:hAnsi="Arial Narrow" w:cs="Arial"/>
                <w:sz w:val="18"/>
                <w:szCs w:val="18"/>
              </w:rPr>
            </w:pPr>
            <w:r w:rsidRPr="00622A93">
              <w:rPr>
                <w:rFonts w:ascii="Arial Narrow" w:hAnsi="Arial Narrow" w:cs="Arial"/>
                <w:sz w:val="18"/>
                <w:szCs w:val="18"/>
              </w:rPr>
              <w:t>0,221</w:t>
            </w:r>
          </w:p>
        </w:tc>
        <w:tc>
          <w:tcPr>
            <w:tcW w:w="1055" w:type="dxa"/>
            <w:shd w:val="clear" w:color="auto" w:fill="D9D9D9"/>
            <w:tcMar>
              <w:right w:w="57" w:type="dxa"/>
            </w:tcMar>
            <w:vAlign w:val="center"/>
          </w:tcPr>
          <w:p w:rsidR="00622A93" w:rsidRPr="00622A93" w:rsidRDefault="00622A93" w:rsidP="00622A93">
            <w:pPr>
              <w:spacing w:before="40" w:after="20"/>
              <w:ind w:left="-57"/>
              <w:jc w:val="right"/>
              <w:rPr>
                <w:rFonts w:ascii="Arial Narrow" w:hAnsi="Arial Narrow" w:cs="Arial"/>
                <w:sz w:val="18"/>
                <w:szCs w:val="18"/>
              </w:rPr>
            </w:pPr>
            <w:r w:rsidRPr="00622A93">
              <w:rPr>
                <w:rFonts w:ascii="Arial Narrow" w:hAnsi="Arial Narrow" w:cs="Arial"/>
                <w:sz w:val="18"/>
                <w:szCs w:val="18"/>
              </w:rPr>
              <w:t>+1,1</w:t>
            </w:r>
          </w:p>
        </w:tc>
      </w:tr>
      <w:tr w:rsidR="00622A93" w:rsidRPr="00C8504B" w:rsidTr="00622A93">
        <w:trPr>
          <w:trHeight w:val="255"/>
          <w:jc w:val="center"/>
        </w:trPr>
        <w:tc>
          <w:tcPr>
            <w:tcW w:w="1882" w:type="dxa"/>
            <w:shd w:val="clear" w:color="auto" w:fill="E42618"/>
            <w:vAlign w:val="center"/>
          </w:tcPr>
          <w:p w:rsidR="00622A93" w:rsidRPr="00476619" w:rsidRDefault="00622A93" w:rsidP="00622A93">
            <w:pPr>
              <w:spacing w:before="40" w:after="20"/>
              <w:ind w:left="-57"/>
              <w:rPr>
                <w:rFonts w:ascii="Arial Narrow" w:hAnsi="Arial Narrow" w:cs="Arial"/>
                <w:b/>
                <w:color w:val="FFFFFF" w:themeColor="background1"/>
                <w:sz w:val="18"/>
                <w:szCs w:val="18"/>
              </w:rPr>
            </w:pPr>
            <w:r w:rsidRPr="00476619">
              <w:rPr>
                <w:rFonts w:ascii="Arial Narrow" w:hAnsi="Arial Narrow" w:cs="Arial"/>
                <w:b/>
                <w:color w:val="FFFFFF" w:themeColor="background1"/>
                <w:sz w:val="18"/>
                <w:szCs w:val="18"/>
              </w:rPr>
              <w:t>Indice generale</w:t>
            </w:r>
          </w:p>
        </w:tc>
        <w:tc>
          <w:tcPr>
            <w:tcW w:w="1189" w:type="dxa"/>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1.000.000</w:t>
            </w:r>
          </w:p>
        </w:tc>
        <w:tc>
          <w:tcPr>
            <w:tcW w:w="1118" w:type="dxa"/>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+1,6</w:t>
            </w:r>
          </w:p>
        </w:tc>
        <w:tc>
          <w:tcPr>
            <w:tcW w:w="1117" w:type="dxa"/>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+0,7</w:t>
            </w:r>
          </w:p>
        </w:tc>
        <w:tc>
          <w:tcPr>
            <w:tcW w:w="1014" w:type="dxa"/>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+4,8</w:t>
            </w:r>
          </w:p>
        </w:tc>
        <w:tc>
          <w:tcPr>
            <w:tcW w:w="1134" w:type="dxa"/>
            <w:gridSpan w:val="2"/>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+3,9</w:t>
            </w:r>
          </w:p>
        </w:tc>
        <w:tc>
          <w:tcPr>
            <w:tcW w:w="1577" w:type="dxa"/>
            <w:shd w:val="clear" w:color="auto" w:fill="E42618"/>
            <w:vAlign w:val="center"/>
          </w:tcPr>
          <w:p w:rsidR="00622A93" w:rsidRPr="00622A93" w:rsidRDefault="00622A93" w:rsidP="00622A93">
            <w:pPr>
              <w:spacing w:before="40" w:after="20"/>
              <w:ind w:left="-57" w:right="57"/>
              <w:jc w:val="right"/>
              <w:rPr>
                <w:rFonts w:ascii="Arial Narrow" w:hAnsi="Arial Narrow" w:cs="Arial"/>
                <w:b/>
                <w:color w:val="FFFFFF" w:themeColor="background1"/>
                <w:sz w:val="18"/>
                <w:szCs w:val="18"/>
              </w:rPr>
            </w:pPr>
          </w:p>
        </w:tc>
        <w:tc>
          <w:tcPr>
            <w:tcW w:w="1055" w:type="dxa"/>
            <w:shd w:val="clear" w:color="auto" w:fill="E42618"/>
            <w:tcMar>
              <w:right w:w="57" w:type="dxa"/>
            </w:tcMar>
            <w:vAlign w:val="center"/>
          </w:tcPr>
          <w:p w:rsidR="00622A93" w:rsidRPr="00622A93" w:rsidRDefault="00622A93" w:rsidP="00622A93">
            <w:pPr>
              <w:spacing w:before="40" w:after="20"/>
              <w:ind w:lef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+3,4</w:t>
            </w:r>
          </w:p>
        </w:tc>
      </w:tr>
    </w:tbl>
    <w:p w:rsidR="00E00390" w:rsidRPr="00C8504B" w:rsidRDefault="0047143B" w:rsidP="00A64388">
      <w:pPr>
        <w:pStyle w:val="001TitoloBolocco"/>
        <w:spacing w:after="120" w:line="240" w:lineRule="auto"/>
        <w:rPr>
          <w:sz w:val="20"/>
          <w:szCs w:val="20"/>
        </w:rPr>
      </w:pPr>
      <w:r w:rsidRPr="00C8504B">
        <w:rPr>
          <w:szCs w:val="26"/>
        </w:rPr>
        <w:br w:type="page"/>
      </w:r>
    </w:p>
    <w:p w:rsidR="00C7029E" w:rsidRPr="009A24B3" w:rsidRDefault="00C7029E" w:rsidP="009A24B3">
      <w:pPr>
        <w:tabs>
          <w:tab w:val="left" w:pos="2940"/>
        </w:tabs>
        <w:spacing w:before="0" w:after="120"/>
        <w:jc w:val="both"/>
        <w:rPr>
          <w:rFonts w:ascii="Arial" w:hAnsi="Arial" w:cs="Arial"/>
          <w:iCs/>
          <w:sz w:val="21"/>
          <w:szCs w:val="21"/>
        </w:rPr>
      </w:pPr>
    </w:p>
    <w:p w:rsidR="00A64388" w:rsidRPr="00C8504B" w:rsidRDefault="00A64388" w:rsidP="00BD0487">
      <w:pPr>
        <w:pStyle w:val="001TitoloBolocco"/>
        <w:spacing w:after="120" w:line="240" w:lineRule="auto"/>
        <w:rPr>
          <w:szCs w:val="26"/>
        </w:rPr>
      </w:pPr>
      <w:r w:rsidRPr="00C8504B">
        <w:rPr>
          <w:szCs w:val="26"/>
        </w:rPr>
        <w:t>I dati del territorio</w:t>
      </w:r>
    </w:p>
    <w:p w:rsidR="002C59AC" w:rsidRPr="007533A4" w:rsidRDefault="002C59AC" w:rsidP="002C59AC">
      <w:pPr>
        <w:tabs>
          <w:tab w:val="left" w:pos="2940"/>
        </w:tabs>
        <w:spacing w:before="0" w:after="120"/>
        <w:jc w:val="both"/>
        <w:rPr>
          <w:rFonts w:ascii="Arial" w:hAnsi="Arial" w:cs="Arial"/>
          <w:iCs/>
          <w:sz w:val="21"/>
          <w:szCs w:val="21"/>
        </w:rPr>
      </w:pPr>
      <w:r w:rsidRPr="008148E1">
        <w:rPr>
          <w:rFonts w:ascii="Arial" w:hAnsi="Arial" w:cs="Arial"/>
          <w:iCs/>
          <w:sz w:val="21"/>
          <w:szCs w:val="21"/>
        </w:rPr>
        <w:t>A</w:t>
      </w:r>
      <w:r>
        <w:rPr>
          <w:rFonts w:ascii="Arial" w:hAnsi="Arial" w:cs="Arial"/>
          <w:iCs/>
          <w:sz w:val="21"/>
          <w:szCs w:val="21"/>
        </w:rPr>
        <w:t xml:space="preserve"> gennaio</w:t>
      </w:r>
      <w:r w:rsidRPr="008148E1">
        <w:rPr>
          <w:rFonts w:ascii="Arial" w:hAnsi="Arial" w:cs="Arial"/>
          <w:iCs/>
          <w:sz w:val="21"/>
          <w:szCs w:val="21"/>
        </w:rPr>
        <w:t xml:space="preserve"> </w:t>
      </w:r>
      <w:r w:rsidRPr="007533A4">
        <w:rPr>
          <w:rFonts w:ascii="Arial" w:hAnsi="Arial" w:cs="Arial"/>
          <w:iCs/>
          <w:sz w:val="21"/>
          <w:szCs w:val="21"/>
        </w:rPr>
        <w:t xml:space="preserve">l’inflazione accelera in tutte le ripartizioni geografiche (Figura 5), confermandosi al di sopra del dato nazionale nelle Isole (da +4,5% </w:t>
      </w:r>
      <w:r>
        <w:rPr>
          <w:rFonts w:ascii="Arial" w:hAnsi="Arial" w:cs="Arial"/>
          <w:iCs/>
          <w:sz w:val="21"/>
          <w:szCs w:val="21"/>
        </w:rPr>
        <w:t xml:space="preserve">di dicembre </w:t>
      </w:r>
      <w:r w:rsidRPr="007533A4">
        <w:rPr>
          <w:rFonts w:ascii="Arial" w:hAnsi="Arial" w:cs="Arial"/>
          <w:iCs/>
          <w:sz w:val="21"/>
          <w:szCs w:val="21"/>
        </w:rPr>
        <w:t>a +5,5%), nel Nord-Est (da +</w:t>
      </w:r>
      <w:r>
        <w:rPr>
          <w:rFonts w:ascii="Arial" w:hAnsi="Arial" w:cs="Arial"/>
          <w:iCs/>
          <w:sz w:val="21"/>
          <w:szCs w:val="21"/>
        </w:rPr>
        <w:t>4,0</w:t>
      </w:r>
      <w:r w:rsidRPr="007533A4">
        <w:rPr>
          <w:rFonts w:ascii="Arial" w:hAnsi="Arial" w:cs="Arial"/>
          <w:iCs/>
          <w:sz w:val="21"/>
          <w:szCs w:val="21"/>
        </w:rPr>
        <w:t>% a +</w:t>
      </w:r>
      <w:r>
        <w:rPr>
          <w:rFonts w:ascii="Arial" w:hAnsi="Arial" w:cs="Arial"/>
          <w:iCs/>
          <w:sz w:val="21"/>
          <w:szCs w:val="21"/>
        </w:rPr>
        <w:t>5,4</w:t>
      </w:r>
      <w:r w:rsidRPr="007533A4">
        <w:rPr>
          <w:rFonts w:ascii="Arial" w:hAnsi="Arial" w:cs="Arial"/>
          <w:iCs/>
          <w:sz w:val="21"/>
          <w:szCs w:val="21"/>
        </w:rPr>
        <w:t>%)</w:t>
      </w:r>
      <w:r>
        <w:rPr>
          <w:rFonts w:ascii="Arial" w:hAnsi="Arial" w:cs="Arial"/>
          <w:iCs/>
          <w:sz w:val="21"/>
          <w:szCs w:val="21"/>
        </w:rPr>
        <w:t xml:space="preserve"> e</w:t>
      </w:r>
      <w:r w:rsidRPr="007533A4">
        <w:rPr>
          <w:rFonts w:ascii="Arial" w:hAnsi="Arial" w:cs="Arial"/>
          <w:iCs/>
          <w:sz w:val="21"/>
          <w:szCs w:val="21"/>
        </w:rPr>
        <w:t xml:space="preserve"> </w:t>
      </w:r>
      <w:r>
        <w:rPr>
          <w:rFonts w:ascii="Arial" w:hAnsi="Arial" w:cs="Arial"/>
          <w:iCs/>
          <w:sz w:val="21"/>
          <w:szCs w:val="21"/>
        </w:rPr>
        <w:t>nel Sud (da +4</w:t>
      </w:r>
      <w:r w:rsidRPr="007533A4">
        <w:rPr>
          <w:rFonts w:ascii="Arial" w:hAnsi="Arial" w:cs="Arial"/>
          <w:iCs/>
          <w:sz w:val="21"/>
          <w:szCs w:val="21"/>
        </w:rPr>
        <w:t>,1% a +</w:t>
      </w:r>
      <w:r>
        <w:rPr>
          <w:rFonts w:ascii="Arial" w:hAnsi="Arial" w:cs="Arial"/>
          <w:iCs/>
          <w:sz w:val="21"/>
          <w:szCs w:val="21"/>
        </w:rPr>
        <w:t>5,0</w:t>
      </w:r>
      <w:r w:rsidRPr="007533A4">
        <w:rPr>
          <w:rFonts w:ascii="Arial" w:hAnsi="Arial" w:cs="Arial"/>
          <w:iCs/>
          <w:sz w:val="21"/>
          <w:szCs w:val="21"/>
        </w:rPr>
        <w:t>%)</w:t>
      </w:r>
      <w:r>
        <w:rPr>
          <w:rFonts w:ascii="Arial" w:hAnsi="Arial" w:cs="Arial"/>
          <w:iCs/>
          <w:sz w:val="21"/>
          <w:szCs w:val="21"/>
        </w:rPr>
        <w:t>, pari al dato nazionale</w:t>
      </w:r>
      <w:r w:rsidRPr="007533A4">
        <w:rPr>
          <w:rFonts w:ascii="Arial" w:hAnsi="Arial" w:cs="Arial"/>
          <w:iCs/>
          <w:sz w:val="21"/>
          <w:szCs w:val="21"/>
        </w:rPr>
        <w:t xml:space="preserve"> al Centro (da +</w:t>
      </w:r>
      <w:r>
        <w:rPr>
          <w:rFonts w:ascii="Arial" w:hAnsi="Arial" w:cs="Arial"/>
          <w:iCs/>
          <w:sz w:val="21"/>
          <w:szCs w:val="21"/>
        </w:rPr>
        <w:t>3,9</w:t>
      </w:r>
      <w:r w:rsidRPr="007533A4">
        <w:rPr>
          <w:rFonts w:ascii="Arial" w:hAnsi="Arial" w:cs="Arial"/>
          <w:iCs/>
          <w:sz w:val="21"/>
          <w:szCs w:val="21"/>
        </w:rPr>
        <w:t>% a +</w:t>
      </w:r>
      <w:r>
        <w:rPr>
          <w:rFonts w:ascii="Arial" w:hAnsi="Arial" w:cs="Arial"/>
          <w:iCs/>
          <w:sz w:val="21"/>
          <w:szCs w:val="21"/>
        </w:rPr>
        <w:t>4,8</w:t>
      </w:r>
      <w:r w:rsidRPr="007533A4">
        <w:rPr>
          <w:rFonts w:ascii="Arial" w:hAnsi="Arial" w:cs="Arial"/>
          <w:iCs/>
          <w:sz w:val="21"/>
          <w:szCs w:val="21"/>
        </w:rPr>
        <w:t>%)</w:t>
      </w:r>
      <w:r>
        <w:rPr>
          <w:rFonts w:ascii="Arial" w:hAnsi="Arial" w:cs="Arial"/>
          <w:iCs/>
          <w:sz w:val="21"/>
          <w:szCs w:val="21"/>
        </w:rPr>
        <w:t>,</w:t>
      </w:r>
      <w:r w:rsidRPr="007533A4">
        <w:rPr>
          <w:rFonts w:ascii="Arial" w:hAnsi="Arial" w:cs="Arial"/>
          <w:iCs/>
          <w:sz w:val="21"/>
          <w:szCs w:val="21"/>
        </w:rPr>
        <w:t xml:space="preserve"> mentre si posiziona al di sotto nel Nord-Ovest (da +</w:t>
      </w:r>
      <w:r>
        <w:rPr>
          <w:rFonts w:ascii="Arial" w:hAnsi="Arial" w:cs="Arial"/>
          <w:iCs/>
          <w:sz w:val="21"/>
          <w:szCs w:val="21"/>
        </w:rPr>
        <w:t>3,5</w:t>
      </w:r>
      <w:r w:rsidRPr="007533A4">
        <w:rPr>
          <w:rFonts w:ascii="Arial" w:hAnsi="Arial" w:cs="Arial"/>
          <w:iCs/>
          <w:sz w:val="21"/>
          <w:szCs w:val="21"/>
        </w:rPr>
        <w:t>% a +</w:t>
      </w:r>
      <w:r>
        <w:rPr>
          <w:rFonts w:ascii="Arial" w:hAnsi="Arial" w:cs="Arial"/>
          <w:iCs/>
          <w:sz w:val="21"/>
          <w:szCs w:val="21"/>
        </w:rPr>
        <w:t>4,3</w:t>
      </w:r>
      <w:r w:rsidRPr="007533A4">
        <w:rPr>
          <w:rFonts w:ascii="Arial" w:hAnsi="Arial" w:cs="Arial"/>
          <w:iCs/>
          <w:sz w:val="21"/>
          <w:szCs w:val="21"/>
        </w:rPr>
        <w:t>%).</w:t>
      </w:r>
    </w:p>
    <w:p w:rsidR="002C59AC" w:rsidRDefault="002C59AC" w:rsidP="002C59AC">
      <w:pPr>
        <w:tabs>
          <w:tab w:val="left" w:pos="2940"/>
        </w:tabs>
        <w:spacing w:before="0" w:after="120"/>
        <w:jc w:val="both"/>
        <w:rPr>
          <w:rFonts w:ascii="Arial" w:hAnsi="Arial" w:cs="Arial"/>
          <w:iCs/>
          <w:sz w:val="21"/>
          <w:szCs w:val="21"/>
        </w:rPr>
      </w:pPr>
      <w:r w:rsidRPr="007533A4">
        <w:rPr>
          <w:rFonts w:ascii="Arial" w:hAnsi="Arial" w:cs="Arial"/>
          <w:iCs/>
          <w:sz w:val="21"/>
          <w:szCs w:val="21"/>
        </w:rPr>
        <w:t>Nei capoluoghi</w:t>
      </w:r>
      <w:r w:rsidRPr="008148E1">
        <w:rPr>
          <w:rFonts w:ascii="Arial" w:hAnsi="Arial" w:cs="Arial"/>
          <w:iCs/>
          <w:sz w:val="21"/>
          <w:szCs w:val="21"/>
        </w:rPr>
        <w:t xml:space="preserve"> delle regioni e delle province autonome e nei comuni non capoluoghi di regione con più di 150mila abitanti (Figura 6) l’inflazione più elevata si osserva a </w:t>
      </w:r>
      <w:r>
        <w:rPr>
          <w:rFonts w:ascii="Arial" w:hAnsi="Arial" w:cs="Arial"/>
          <w:iCs/>
          <w:sz w:val="21"/>
          <w:szCs w:val="21"/>
        </w:rPr>
        <w:t xml:space="preserve">Bolzano (+6,2%), Trento e Trieste (+5,9% per entrambe), </w:t>
      </w:r>
      <w:r w:rsidRPr="008148E1">
        <w:rPr>
          <w:rFonts w:ascii="Arial" w:hAnsi="Arial" w:cs="Arial"/>
          <w:iCs/>
          <w:sz w:val="21"/>
          <w:szCs w:val="21"/>
        </w:rPr>
        <w:t xml:space="preserve">mentre </w:t>
      </w:r>
      <w:r>
        <w:rPr>
          <w:rFonts w:ascii="Arial" w:hAnsi="Arial" w:cs="Arial"/>
          <w:iCs/>
          <w:sz w:val="21"/>
          <w:szCs w:val="21"/>
        </w:rPr>
        <w:t>le</w:t>
      </w:r>
      <w:r w:rsidRPr="008148E1">
        <w:rPr>
          <w:rFonts w:ascii="Arial" w:hAnsi="Arial" w:cs="Arial"/>
          <w:iCs/>
          <w:sz w:val="21"/>
          <w:szCs w:val="21"/>
        </w:rPr>
        <w:t xml:space="preserve"> </w:t>
      </w:r>
      <w:r>
        <w:rPr>
          <w:rFonts w:ascii="Arial" w:hAnsi="Arial" w:cs="Arial"/>
          <w:iCs/>
          <w:sz w:val="21"/>
          <w:szCs w:val="21"/>
        </w:rPr>
        <w:t>variazioni tendenziali più contenute si registrano a Milano (+3,9%) e Torino (+3,8%).</w:t>
      </w:r>
    </w:p>
    <w:p w:rsidR="002C59AC" w:rsidRDefault="002C59AC" w:rsidP="002C59AC">
      <w:pPr>
        <w:tabs>
          <w:tab w:val="left" w:pos="2940"/>
        </w:tabs>
        <w:spacing w:before="0" w:after="120"/>
        <w:jc w:val="both"/>
        <w:rPr>
          <w:rFonts w:ascii="Arial" w:hAnsi="Arial" w:cs="Arial"/>
          <w:iCs/>
          <w:sz w:val="21"/>
          <w:szCs w:val="21"/>
        </w:rPr>
      </w:pPr>
    </w:p>
    <w:p w:rsidR="00B1023A" w:rsidRDefault="00F53362" w:rsidP="009F6A3F">
      <w:pPr>
        <w:pStyle w:val="Titolo1"/>
        <w:rPr>
          <w:rFonts w:ascii="Arial Narrow" w:hAnsi="Arial Narrow" w:cs="Arial"/>
          <w:b w:val="0"/>
          <w:color w:val="5F5F5F"/>
          <w:kern w:val="28"/>
          <w:sz w:val="20"/>
        </w:rPr>
      </w:pPr>
      <w:r w:rsidRPr="00CC2304">
        <w:rPr>
          <w:rFonts w:ascii="Arial Narrow" w:hAnsi="Arial Narrow" w:cs="Arial"/>
          <w:color w:val="E42618"/>
          <w:kern w:val="0"/>
          <w:sz w:val="22"/>
          <w:szCs w:val="22"/>
        </w:rPr>
        <w:t>FIGURA 5</w:t>
      </w:r>
      <w:r w:rsidR="009F6A3F" w:rsidRPr="00CC2304">
        <w:rPr>
          <w:rFonts w:ascii="Arial Narrow" w:hAnsi="Arial Narrow" w:cs="Arial"/>
          <w:color w:val="E42618"/>
          <w:kern w:val="0"/>
          <w:sz w:val="22"/>
          <w:szCs w:val="22"/>
        </w:rPr>
        <w:t>.</w:t>
      </w:r>
      <w:r w:rsidR="009F6A3F" w:rsidRPr="00CC2304">
        <w:rPr>
          <w:rFonts w:ascii="Arial Narrow" w:hAnsi="Arial Narrow" w:cs="Arial"/>
          <w:color w:val="5F5F5F"/>
          <w:sz w:val="20"/>
        </w:rPr>
        <w:t xml:space="preserve"> </w:t>
      </w:r>
      <w:r w:rsidR="009F6A3F" w:rsidRPr="00CC2304">
        <w:rPr>
          <w:rFonts w:ascii="Arial Narrow" w:hAnsi="Arial Narrow" w:cs="Calibri"/>
          <w:bCs/>
          <w:color w:val="5F5F5F"/>
          <w:kern w:val="0"/>
          <w:sz w:val="22"/>
          <w:szCs w:val="22"/>
        </w:rPr>
        <w:t>INDICI DEI PREZZI AL CONSUMO NIC PER REGIONE E RIPARTIZIONE GEOGRAFICA</w:t>
      </w:r>
      <w:r w:rsidR="009F6A3F" w:rsidRPr="00C8504B">
        <w:rPr>
          <w:rFonts w:ascii="Arial Narrow" w:hAnsi="Arial Narrow" w:cs="Arial"/>
          <w:color w:val="5F5F5F"/>
          <w:sz w:val="20"/>
        </w:rPr>
        <w:br/>
      </w:r>
      <w:r w:rsidR="005B7BD6">
        <w:rPr>
          <w:rFonts w:ascii="Arial Narrow" w:hAnsi="Arial Narrow" w:cs="Arial"/>
          <w:b w:val="0"/>
          <w:color w:val="5F5F5F"/>
          <w:kern w:val="28"/>
          <w:sz w:val="20"/>
        </w:rPr>
        <w:t>Dicem</w:t>
      </w:r>
      <w:r w:rsidR="00FD0188">
        <w:rPr>
          <w:rFonts w:ascii="Arial Narrow" w:hAnsi="Arial Narrow" w:cs="Arial"/>
          <w:b w:val="0"/>
          <w:color w:val="5F5F5F"/>
          <w:kern w:val="28"/>
          <w:sz w:val="20"/>
        </w:rPr>
        <w:t>bre</w:t>
      </w:r>
      <w:r w:rsidR="007D4534" w:rsidRPr="007A798D">
        <w:rPr>
          <w:rFonts w:ascii="Arial Narrow" w:hAnsi="Arial Narrow" w:cs="Arial"/>
          <w:b w:val="0"/>
          <w:color w:val="5F5F5F"/>
          <w:kern w:val="28"/>
          <w:sz w:val="20"/>
        </w:rPr>
        <w:t xml:space="preserve"> </w:t>
      </w:r>
      <w:r w:rsidR="007D4534">
        <w:rPr>
          <w:rFonts w:ascii="Arial Narrow" w:hAnsi="Arial Narrow" w:cs="Arial"/>
          <w:b w:val="0"/>
          <w:color w:val="5F5F5F"/>
          <w:kern w:val="28"/>
          <w:sz w:val="20"/>
        </w:rPr>
        <w:t>202</w:t>
      </w:r>
      <w:r w:rsidR="00680F82">
        <w:rPr>
          <w:rFonts w:ascii="Arial Narrow" w:hAnsi="Arial Narrow" w:cs="Arial"/>
          <w:b w:val="0"/>
          <w:color w:val="5F5F5F"/>
          <w:kern w:val="28"/>
          <w:sz w:val="20"/>
        </w:rPr>
        <w:t>1</w:t>
      </w:r>
      <w:r w:rsidR="007D4534" w:rsidRPr="007A798D">
        <w:rPr>
          <w:rFonts w:ascii="Arial Narrow" w:hAnsi="Arial Narrow" w:cs="Arial"/>
          <w:b w:val="0"/>
          <w:color w:val="5F5F5F"/>
          <w:kern w:val="28"/>
          <w:sz w:val="20"/>
        </w:rPr>
        <w:t xml:space="preserve"> </w:t>
      </w:r>
      <w:r w:rsidR="008E006C">
        <w:rPr>
          <w:rFonts w:ascii="Arial Narrow" w:hAnsi="Arial Narrow" w:cs="Arial"/>
          <w:b w:val="0"/>
          <w:color w:val="5F5F5F"/>
          <w:kern w:val="28"/>
          <w:sz w:val="20"/>
        </w:rPr>
        <w:t>–</w:t>
      </w:r>
      <w:r w:rsidR="007D4534" w:rsidRPr="007A798D">
        <w:rPr>
          <w:rFonts w:ascii="Arial Narrow" w:hAnsi="Arial Narrow" w:cs="Arial"/>
          <w:b w:val="0"/>
          <w:color w:val="5F5F5F"/>
          <w:kern w:val="28"/>
          <w:sz w:val="20"/>
        </w:rPr>
        <w:t xml:space="preserve"> </w:t>
      </w:r>
      <w:r w:rsidR="005B7BD6">
        <w:rPr>
          <w:rFonts w:ascii="Arial Narrow" w:hAnsi="Arial Narrow" w:cs="Arial"/>
          <w:b w:val="0"/>
          <w:color w:val="5F5F5F"/>
          <w:kern w:val="28"/>
          <w:sz w:val="20"/>
        </w:rPr>
        <w:t>g</w:t>
      </w:r>
      <w:r w:rsidR="005B7BD6" w:rsidRPr="005B7BD6">
        <w:rPr>
          <w:rFonts w:ascii="Arial Narrow" w:hAnsi="Arial Narrow" w:cs="Arial"/>
          <w:b w:val="0"/>
          <w:color w:val="5F5F5F"/>
          <w:kern w:val="28"/>
          <w:sz w:val="20"/>
        </w:rPr>
        <w:t>ennaio 2022</w:t>
      </w:r>
      <w:r w:rsidR="007D4534" w:rsidRPr="007A798D">
        <w:rPr>
          <w:rFonts w:ascii="Arial Narrow" w:hAnsi="Arial Narrow" w:cs="Arial"/>
          <w:b w:val="0"/>
          <w:color w:val="5F5F5F"/>
          <w:kern w:val="28"/>
          <w:sz w:val="20"/>
        </w:rPr>
        <w:t>, variazioni percentuali tendenziali (base 2015=100</w:t>
      </w:r>
      <w:r w:rsidR="007D4534" w:rsidRPr="00C8504B">
        <w:rPr>
          <w:rFonts w:ascii="Arial Narrow" w:hAnsi="Arial Narrow" w:cs="Arial"/>
          <w:b w:val="0"/>
          <w:color w:val="5F5F5F"/>
          <w:kern w:val="28"/>
          <w:sz w:val="20"/>
        </w:rPr>
        <w:t xml:space="preserve">) </w:t>
      </w:r>
    </w:p>
    <w:p w:rsidR="006D6A10" w:rsidRDefault="00014EC8" w:rsidP="006D6A10">
      <w:pPr>
        <w:tabs>
          <w:tab w:val="left" w:pos="2940"/>
        </w:tabs>
        <w:spacing w:before="0" w:after="120"/>
        <w:jc w:val="both"/>
        <w:rPr>
          <w:rFonts w:ascii="Arial" w:hAnsi="Arial" w:cs="Arial"/>
          <w:iCs/>
          <w:sz w:val="21"/>
          <w:szCs w:val="21"/>
        </w:rPr>
      </w:pPr>
      <w:r>
        <w:rPr>
          <w:rFonts w:ascii="Arial" w:hAnsi="Arial" w:cs="Arial"/>
          <w:iCs/>
          <w:noProof/>
          <w:sz w:val="21"/>
          <w:szCs w:val="21"/>
        </w:rPr>
        <w:drawing>
          <wp:inline distT="0" distB="0" distL="0" distR="0" wp14:anchorId="0F60730C">
            <wp:extent cx="6614795" cy="2164080"/>
            <wp:effectExtent l="0" t="0" r="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4795" cy="2164080"/>
                    </a:xfrm>
                    <a:prstGeom prst="rect">
                      <a:avLst/>
                    </a:prstGeom>
                    <a:noFill/>
                  </pic:spPr>
                </pic:pic>
              </a:graphicData>
            </a:graphic>
          </wp:inline>
        </w:drawing>
      </w:r>
    </w:p>
    <w:p w:rsidR="008B53F6" w:rsidRPr="00054BF7" w:rsidRDefault="008B53F6" w:rsidP="008B53F6">
      <w:pPr>
        <w:pStyle w:val="00TitoGra1"/>
        <w:spacing w:after="120" w:line="240" w:lineRule="auto"/>
        <w:ind w:left="284"/>
        <w:jc w:val="both"/>
        <w:rPr>
          <w:rFonts w:ascii="Arial" w:hAnsi="Arial"/>
          <w:b w:val="0"/>
          <w:color w:val="auto"/>
          <w:sz w:val="16"/>
          <w:szCs w:val="20"/>
        </w:rPr>
      </w:pPr>
    </w:p>
    <w:p w:rsidR="00525A45" w:rsidRDefault="00ED4CE5" w:rsidP="00C45C2E">
      <w:pPr>
        <w:spacing w:before="0" w:after="0"/>
        <w:jc w:val="both"/>
        <w:rPr>
          <w:rFonts w:ascii="Arial Narrow" w:hAnsi="Arial Narrow" w:cs="Calibri"/>
          <w:b/>
          <w:bCs/>
          <w:color w:val="5F5F5F"/>
          <w:kern w:val="0"/>
          <w:sz w:val="22"/>
          <w:szCs w:val="22"/>
          <w:vertAlign w:val="superscript"/>
        </w:rPr>
      </w:pPr>
      <w:r w:rsidRPr="00CC2304">
        <w:rPr>
          <w:rFonts w:ascii="Arial Narrow" w:hAnsi="Arial Narrow" w:cs="Arial"/>
          <w:b/>
          <w:color w:val="E42618"/>
          <w:kern w:val="0"/>
          <w:sz w:val="22"/>
          <w:szCs w:val="22"/>
        </w:rPr>
        <w:t xml:space="preserve">FIGURA </w:t>
      </w:r>
      <w:r w:rsidR="00F53362" w:rsidRPr="00CC2304">
        <w:rPr>
          <w:rFonts w:ascii="Arial Narrow" w:hAnsi="Arial Narrow" w:cs="Arial"/>
          <w:b/>
          <w:color w:val="E42618"/>
          <w:kern w:val="0"/>
          <w:sz w:val="22"/>
          <w:szCs w:val="22"/>
        </w:rPr>
        <w:t>6</w:t>
      </w:r>
      <w:r w:rsidRPr="00CC2304">
        <w:rPr>
          <w:b/>
          <w:color w:val="E42618"/>
        </w:rPr>
        <w:t>.</w:t>
      </w:r>
      <w:r w:rsidRPr="00CC2304">
        <w:t xml:space="preserve"> </w:t>
      </w:r>
      <w:r w:rsidRPr="00CC2304">
        <w:rPr>
          <w:rFonts w:ascii="Arial Narrow" w:hAnsi="Arial Narrow" w:cs="Calibri"/>
          <w:b/>
          <w:bCs/>
          <w:color w:val="5F5F5F"/>
          <w:kern w:val="0"/>
          <w:sz w:val="22"/>
          <w:szCs w:val="22"/>
        </w:rPr>
        <w:t>I</w:t>
      </w:r>
      <w:r w:rsidR="00DA7A68" w:rsidRPr="00CC2304">
        <w:rPr>
          <w:rFonts w:ascii="Arial Narrow" w:hAnsi="Arial Narrow" w:cs="Calibri"/>
          <w:b/>
          <w:bCs/>
          <w:color w:val="5F5F5F"/>
          <w:kern w:val="0"/>
          <w:sz w:val="22"/>
          <w:szCs w:val="22"/>
        </w:rPr>
        <w:t>NDICI DEI PREZZI AL CONSUMO NIC</w:t>
      </w:r>
      <w:r w:rsidR="0047143B" w:rsidRPr="00CC2304">
        <w:rPr>
          <w:rFonts w:ascii="Arial Narrow" w:hAnsi="Arial Narrow" w:cs="Calibri"/>
          <w:b/>
          <w:bCs/>
          <w:color w:val="5F5F5F"/>
          <w:kern w:val="0"/>
          <w:sz w:val="22"/>
          <w:szCs w:val="22"/>
        </w:rPr>
        <w:t xml:space="preserve"> PER CAPOLUOGO DI REGIONE, </w:t>
      </w:r>
      <w:r w:rsidRPr="00CC2304">
        <w:rPr>
          <w:rFonts w:ascii="Arial Narrow" w:hAnsi="Arial Narrow" w:cs="Calibri"/>
          <w:b/>
          <w:bCs/>
          <w:color w:val="5F5F5F"/>
          <w:kern w:val="0"/>
          <w:sz w:val="22"/>
          <w:szCs w:val="22"/>
        </w:rPr>
        <w:t xml:space="preserve">PROVINCIA AUTONOMA </w:t>
      </w:r>
      <w:r w:rsidR="00DE4758" w:rsidRPr="00CC2304">
        <w:rPr>
          <w:rFonts w:ascii="Arial Narrow" w:hAnsi="Arial Narrow" w:cs="Calibri"/>
          <w:b/>
          <w:bCs/>
          <w:color w:val="5F5F5F"/>
          <w:kern w:val="0"/>
          <w:sz w:val="22"/>
          <w:szCs w:val="22"/>
        </w:rPr>
        <w:t>E</w:t>
      </w:r>
      <w:r w:rsidR="00AD29B6" w:rsidRPr="00CC2304">
        <w:rPr>
          <w:rFonts w:ascii="Arial Narrow" w:hAnsi="Arial Narrow" w:cs="Calibri"/>
          <w:b/>
          <w:bCs/>
          <w:color w:val="5F5F5F"/>
          <w:kern w:val="0"/>
          <w:sz w:val="22"/>
          <w:szCs w:val="22"/>
        </w:rPr>
        <w:t xml:space="preserve"> </w:t>
      </w:r>
      <w:r w:rsidR="00DE4758" w:rsidRPr="00CC2304">
        <w:rPr>
          <w:rFonts w:ascii="Arial Narrow" w:hAnsi="Arial Narrow" w:cs="Calibri"/>
          <w:b/>
          <w:bCs/>
          <w:color w:val="5F5F5F"/>
          <w:kern w:val="0"/>
          <w:sz w:val="22"/>
          <w:szCs w:val="22"/>
        </w:rPr>
        <w:t>GRANDI</w:t>
      </w:r>
      <w:r w:rsidR="00DE4758" w:rsidRPr="00C8504B">
        <w:rPr>
          <w:rFonts w:ascii="Arial Narrow" w:hAnsi="Arial Narrow" w:cs="Calibri"/>
          <w:b/>
          <w:bCs/>
          <w:color w:val="5F5F5F"/>
          <w:kern w:val="0"/>
          <w:sz w:val="22"/>
          <w:szCs w:val="22"/>
        </w:rPr>
        <w:t xml:space="preserve"> </w:t>
      </w:r>
      <w:r w:rsidR="0047143B" w:rsidRPr="00C8504B">
        <w:rPr>
          <w:rFonts w:ascii="Arial Narrow" w:hAnsi="Arial Narrow" w:cs="Calibri"/>
          <w:b/>
          <w:bCs/>
          <w:color w:val="5F5F5F"/>
          <w:kern w:val="0"/>
          <w:sz w:val="22"/>
          <w:szCs w:val="22"/>
        </w:rPr>
        <w:t xml:space="preserve">COMUNI </w:t>
      </w:r>
      <w:r w:rsidR="006464B5">
        <w:rPr>
          <w:rFonts w:ascii="Arial Narrow" w:hAnsi="Arial Narrow" w:cs="Calibri"/>
          <w:b/>
          <w:bCs/>
          <w:color w:val="5F5F5F"/>
          <w:kern w:val="0"/>
          <w:sz w:val="22"/>
          <w:szCs w:val="22"/>
          <w:vertAlign w:val="superscript"/>
        </w:rPr>
        <w:t>(a</w:t>
      </w:r>
      <w:r w:rsidR="009D6407">
        <w:rPr>
          <w:rFonts w:ascii="Arial Narrow" w:hAnsi="Arial Narrow" w:cs="Calibri"/>
          <w:b/>
          <w:bCs/>
          <w:color w:val="5F5F5F"/>
          <w:kern w:val="0"/>
          <w:sz w:val="22"/>
          <w:szCs w:val="22"/>
          <w:vertAlign w:val="superscript"/>
        </w:rPr>
        <w:t>)</w:t>
      </w:r>
    </w:p>
    <w:p w:rsidR="00F24676" w:rsidRPr="00C8504B" w:rsidRDefault="005B7BD6" w:rsidP="00C45C2E">
      <w:pPr>
        <w:spacing w:before="0" w:after="0"/>
        <w:jc w:val="both"/>
        <w:rPr>
          <w:rFonts w:ascii="Arial Narrow" w:hAnsi="Arial Narrow" w:cs="Arial"/>
          <w:color w:val="5F5F5F"/>
        </w:rPr>
      </w:pPr>
      <w:r w:rsidRPr="005B7BD6">
        <w:rPr>
          <w:rFonts w:ascii="Arial Narrow" w:hAnsi="Arial Narrow" w:cs="Arial"/>
          <w:color w:val="5F5F5F"/>
        </w:rPr>
        <w:t>Gennaio 2022</w:t>
      </w:r>
      <w:r w:rsidR="00795E10">
        <w:rPr>
          <w:rFonts w:ascii="Arial Narrow" w:hAnsi="Arial Narrow" w:cs="Arial"/>
          <w:color w:val="5F5F5F"/>
        </w:rPr>
        <w:t xml:space="preserve">, </w:t>
      </w:r>
      <w:r w:rsidR="00ED4CE5" w:rsidRPr="00873FB5">
        <w:rPr>
          <w:rFonts w:ascii="Arial Narrow" w:hAnsi="Arial Narrow" w:cs="Arial"/>
          <w:color w:val="5F5F5F"/>
        </w:rPr>
        <w:t>graduatoria delle variazion</w:t>
      </w:r>
      <w:r w:rsidR="0047143B" w:rsidRPr="00873FB5">
        <w:rPr>
          <w:rFonts w:ascii="Arial Narrow" w:hAnsi="Arial Narrow" w:cs="Arial"/>
          <w:color w:val="5F5F5F"/>
        </w:rPr>
        <w:t>i percentuali tendenziali (base 2015=100)</w:t>
      </w:r>
    </w:p>
    <w:p w:rsidR="00617E92" w:rsidRPr="00C8504B" w:rsidRDefault="007533A4" w:rsidP="00E95076">
      <w:pPr>
        <w:pStyle w:val="00TitoGra1"/>
        <w:spacing w:after="120" w:line="240" w:lineRule="auto"/>
        <w:rPr>
          <w:rFonts w:ascii="Arial" w:hAnsi="Arial"/>
          <w:color w:val="auto"/>
          <w:sz w:val="21"/>
          <w:szCs w:val="21"/>
        </w:rPr>
      </w:pPr>
      <w:r>
        <w:rPr>
          <w:rFonts w:ascii="Arial" w:hAnsi="Arial"/>
          <w:noProof/>
          <w:color w:val="auto"/>
          <w:sz w:val="21"/>
          <w:szCs w:val="21"/>
        </w:rPr>
        <w:drawing>
          <wp:inline distT="0" distB="0" distL="0" distR="0" wp14:anchorId="42550B09">
            <wp:extent cx="6480810" cy="215836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2158365"/>
                    </a:xfrm>
                    <a:prstGeom prst="rect">
                      <a:avLst/>
                    </a:prstGeom>
                    <a:noFill/>
                  </pic:spPr>
                </pic:pic>
              </a:graphicData>
            </a:graphic>
          </wp:inline>
        </w:drawing>
      </w:r>
    </w:p>
    <w:p w:rsidR="00A96B46" w:rsidRPr="00401AC1" w:rsidRDefault="00E24384" w:rsidP="00A73D96">
      <w:pPr>
        <w:pStyle w:val="00TitoGra1"/>
        <w:spacing w:after="120" w:line="240" w:lineRule="auto"/>
        <w:ind w:left="284" w:hanging="284"/>
        <w:jc w:val="both"/>
        <w:rPr>
          <w:rFonts w:ascii="Arial" w:hAnsi="Arial"/>
          <w:b w:val="0"/>
          <w:color w:val="auto"/>
          <w:sz w:val="16"/>
          <w:szCs w:val="20"/>
        </w:rPr>
      </w:pPr>
      <w:r w:rsidRPr="005F6AFE">
        <w:rPr>
          <w:rFonts w:ascii="Arial" w:hAnsi="Arial"/>
          <w:b w:val="0"/>
          <w:color w:val="auto"/>
          <w:sz w:val="16"/>
          <w:szCs w:val="20"/>
        </w:rPr>
        <w:t>(</w:t>
      </w:r>
      <w:r w:rsidR="009D6407">
        <w:rPr>
          <w:rFonts w:ascii="Arial" w:hAnsi="Arial"/>
          <w:b w:val="0"/>
          <w:color w:val="auto"/>
          <w:sz w:val="16"/>
          <w:szCs w:val="20"/>
        </w:rPr>
        <w:t>a</w:t>
      </w:r>
      <w:r w:rsidRPr="005F6AFE">
        <w:rPr>
          <w:rFonts w:ascii="Arial" w:hAnsi="Arial"/>
          <w:b w:val="0"/>
          <w:color w:val="auto"/>
          <w:sz w:val="16"/>
          <w:szCs w:val="20"/>
        </w:rPr>
        <w:t>)</w:t>
      </w:r>
      <w:r w:rsidR="00C45C2E">
        <w:rPr>
          <w:rFonts w:ascii="Arial" w:hAnsi="Arial"/>
          <w:b w:val="0"/>
          <w:color w:val="auto"/>
          <w:sz w:val="16"/>
          <w:szCs w:val="20"/>
        </w:rPr>
        <w:t xml:space="preserve"> </w:t>
      </w:r>
      <w:r w:rsidR="00B32E96">
        <w:rPr>
          <w:rFonts w:ascii="Arial" w:hAnsi="Arial"/>
          <w:b w:val="0"/>
          <w:color w:val="auto"/>
          <w:sz w:val="16"/>
          <w:szCs w:val="20"/>
        </w:rPr>
        <w:t xml:space="preserve"> </w:t>
      </w:r>
      <w:r w:rsidR="0006292D" w:rsidRPr="005F6AFE">
        <w:rPr>
          <w:rFonts w:ascii="Arial" w:hAnsi="Arial"/>
          <w:b w:val="0"/>
          <w:color w:val="auto"/>
          <w:sz w:val="16"/>
          <w:szCs w:val="20"/>
        </w:rPr>
        <w:t>I grandi c</w:t>
      </w:r>
      <w:r w:rsidR="00CC0849" w:rsidRPr="005F6AFE">
        <w:rPr>
          <w:rFonts w:ascii="Arial" w:hAnsi="Arial"/>
          <w:b w:val="0"/>
          <w:color w:val="auto"/>
          <w:sz w:val="16"/>
          <w:szCs w:val="20"/>
        </w:rPr>
        <w:t xml:space="preserve">omuni </w:t>
      </w:r>
      <w:r w:rsidR="001F142B" w:rsidRPr="005F6AFE">
        <w:rPr>
          <w:rFonts w:ascii="Arial" w:hAnsi="Arial"/>
          <w:b w:val="0"/>
          <w:color w:val="auto"/>
          <w:sz w:val="16"/>
          <w:szCs w:val="20"/>
        </w:rPr>
        <w:t xml:space="preserve">presenti nel grafico </w:t>
      </w:r>
      <w:r w:rsidR="00CC0849" w:rsidRPr="005F6AFE">
        <w:rPr>
          <w:rFonts w:ascii="Arial" w:hAnsi="Arial"/>
          <w:b w:val="0"/>
          <w:color w:val="auto"/>
          <w:sz w:val="16"/>
          <w:szCs w:val="20"/>
        </w:rPr>
        <w:t xml:space="preserve">sono </w:t>
      </w:r>
      <w:r w:rsidR="001F142B" w:rsidRPr="005F6AFE">
        <w:rPr>
          <w:rFonts w:ascii="Arial" w:hAnsi="Arial"/>
          <w:b w:val="0"/>
          <w:color w:val="auto"/>
          <w:sz w:val="16"/>
          <w:szCs w:val="20"/>
        </w:rPr>
        <w:t xml:space="preserve">i comuni capoluogo di provincia </w:t>
      </w:r>
      <w:r w:rsidR="00CC0849" w:rsidRPr="005F6AFE">
        <w:rPr>
          <w:rFonts w:ascii="Arial" w:hAnsi="Arial"/>
          <w:b w:val="0"/>
          <w:color w:val="auto"/>
          <w:sz w:val="16"/>
          <w:szCs w:val="20"/>
        </w:rPr>
        <w:t>con più di 150.000 abitanti.</w:t>
      </w:r>
      <w:r w:rsidR="00B87271" w:rsidRPr="00C8504B">
        <w:rPr>
          <w:rFonts w:ascii="Arial" w:hAnsi="Arial"/>
          <w:sz w:val="21"/>
          <w:szCs w:val="21"/>
        </w:rPr>
        <w:br w:type="page"/>
      </w:r>
    </w:p>
    <w:p w:rsidR="002674D4" w:rsidRDefault="002674D4" w:rsidP="002674D4">
      <w:pPr>
        <w:spacing w:before="0" w:after="120"/>
        <w:jc w:val="both"/>
        <w:rPr>
          <w:rFonts w:ascii="Arial" w:hAnsi="Arial" w:cs="Arial"/>
          <w:color w:val="000000"/>
          <w:kern w:val="0"/>
          <w:sz w:val="21"/>
          <w:szCs w:val="21"/>
        </w:rPr>
      </w:pPr>
    </w:p>
    <w:p w:rsidR="00007E47" w:rsidRPr="00C8504B" w:rsidRDefault="00007E47" w:rsidP="000362B0">
      <w:pPr>
        <w:pStyle w:val="00TitoGra1"/>
        <w:spacing w:line="240" w:lineRule="auto"/>
        <w:rPr>
          <w:color w:val="E42618"/>
          <w:szCs w:val="36"/>
        </w:rPr>
      </w:pPr>
      <w:r w:rsidRPr="00C8504B">
        <w:rPr>
          <w:color w:val="E42618"/>
          <w:szCs w:val="36"/>
        </w:rPr>
        <w:t>Indice armonizzato dei prezzi al consumo (IPCA)</w:t>
      </w:r>
    </w:p>
    <w:p w:rsidR="002674D4" w:rsidRDefault="002674D4" w:rsidP="002674D4">
      <w:pPr>
        <w:spacing w:before="0" w:after="120"/>
        <w:jc w:val="both"/>
        <w:rPr>
          <w:rFonts w:ascii="Arial" w:hAnsi="Arial" w:cs="Arial"/>
          <w:color w:val="000000"/>
          <w:kern w:val="0"/>
          <w:sz w:val="21"/>
          <w:szCs w:val="21"/>
        </w:rPr>
      </w:pPr>
    </w:p>
    <w:p w:rsidR="00373F6B" w:rsidRPr="00C8504B" w:rsidRDefault="00373F6B" w:rsidP="00BD0487">
      <w:pPr>
        <w:pStyle w:val="001TitoloBolocco"/>
        <w:spacing w:after="120" w:line="240" w:lineRule="auto"/>
        <w:rPr>
          <w:szCs w:val="26"/>
        </w:rPr>
      </w:pPr>
      <w:r w:rsidRPr="00C8504B">
        <w:rPr>
          <w:szCs w:val="26"/>
        </w:rPr>
        <w:t>Le divisioni di spesa</w:t>
      </w:r>
    </w:p>
    <w:p w:rsidR="00896F12" w:rsidRDefault="00896F12" w:rsidP="00896F12">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A </w:t>
      </w:r>
      <w:r w:rsidR="00664CF1">
        <w:rPr>
          <w:rFonts w:ascii="Arial" w:hAnsi="Arial" w:cs="Arial"/>
          <w:color w:val="000000"/>
          <w:kern w:val="0"/>
          <w:sz w:val="21"/>
          <w:szCs w:val="21"/>
        </w:rPr>
        <w:t>gennaio</w:t>
      </w:r>
      <w:r w:rsidRPr="007A6C81">
        <w:rPr>
          <w:rFonts w:ascii="Arial" w:hAnsi="Arial" w:cs="Arial"/>
          <w:color w:val="000000"/>
          <w:kern w:val="0"/>
          <w:sz w:val="21"/>
          <w:szCs w:val="21"/>
        </w:rPr>
        <w:t xml:space="preserve">, </w:t>
      </w:r>
      <w:r>
        <w:rPr>
          <w:rFonts w:ascii="Arial" w:hAnsi="Arial" w:cs="Arial"/>
          <w:color w:val="000000"/>
          <w:kern w:val="0"/>
          <w:sz w:val="21"/>
          <w:szCs w:val="21"/>
        </w:rPr>
        <w:t>l’</w:t>
      </w:r>
      <w:r w:rsidRPr="00F12D9A">
        <w:rPr>
          <w:rFonts w:ascii="Arial" w:hAnsi="Arial" w:cs="Arial"/>
          <w:color w:val="000000"/>
          <w:kern w:val="0"/>
          <w:sz w:val="21"/>
          <w:szCs w:val="21"/>
        </w:rPr>
        <w:t>indice armonizzato dei prezzi al consumo (IPCA)</w:t>
      </w:r>
      <w:r>
        <w:rPr>
          <w:rFonts w:ascii="Arial" w:hAnsi="Arial" w:cs="Arial"/>
          <w:color w:val="000000"/>
          <w:kern w:val="0"/>
          <w:sz w:val="21"/>
          <w:szCs w:val="21"/>
        </w:rPr>
        <w:t xml:space="preserve"> </w:t>
      </w:r>
      <w:r w:rsidRPr="007A6C81">
        <w:rPr>
          <w:rFonts w:ascii="Arial" w:hAnsi="Arial" w:cs="Arial"/>
          <w:color w:val="000000"/>
          <w:kern w:val="0"/>
          <w:sz w:val="21"/>
          <w:szCs w:val="21"/>
        </w:rPr>
        <w:t>registra</w:t>
      </w:r>
      <w:r w:rsidRPr="007A6C81">
        <w:rPr>
          <w:rFonts w:ascii="Arial" w:hAnsi="Arial" w:cs="Arial"/>
          <w:sz w:val="21"/>
          <w:szCs w:val="21"/>
        </w:rPr>
        <w:t xml:space="preserve"> </w:t>
      </w:r>
      <w:r w:rsidR="001202DD">
        <w:rPr>
          <w:rFonts w:ascii="Arial" w:hAnsi="Arial" w:cs="Arial"/>
          <w:sz w:val="21"/>
          <w:szCs w:val="21"/>
        </w:rPr>
        <w:t>un</w:t>
      </w:r>
      <w:r w:rsidR="00664CF1">
        <w:rPr>
          <w:rFonts w:ascii="Arial" w:hAnsi="Arial" w:cs="Arial"/>
          <w:sz w:val="21"/>
          <w:szCs w:val="21"/>
        </w:rPr>
        <w:t>a</w:t>
      </w:r>
      <w:r w:rsidR="001202DD">
        <w:rPr>
          <w:rFonts w:ascii="Arial" w:hAnsi="Arial" w:cs="Arial"/>
          <w:sz w:val="21"/>
          <w:szCs w:val="21"/>
        </w:rPr>
        <w:t xml:space="preserve"> </w:t>
      </w:r>
      <w:r w:rsidR="007533A4">
        <w:rPr>
          <w:rFonts w:ascii="Arial" w:hAnsi="Arial" w:cs="Arial"/>
          <w:sz w:val="21"/>
          <w:szCs w:val="21"/>
        </w:rPr>
        <w:t>variazione nulla</w:t>
      </w:r>
      <w:r w:rsidRPr="008B15EE">
        <w:rPr>
          <w:rFonts w:ascii="Arial" w:hAnsi="Arial" w:cs="Arial"/>
          <w:sz w:val="21"/>
          <w:szCs w:val="21"/>
        </w:rPr>
        <w:t xml:space="preserve"> su base mensile e </w:t>
      </w:r>
      <w:r w:rsidR="00664CF1">
        <w:rPr>
          <w:rFonts w:ascii="Arial" w:hAnsi="Arial" w:cs="Arial"/>
          <w:sz w:val="21"/>
          <w:szCs w:val="21"/>
        </w:rPr>
        <w:t xml:space="preserve">un aumento </w:t>
      </w:r>
      <w:r w:rsidR="00B97CD9">
        <w:rPr>
          <w:rFonts w:ascii="Arial" w:hAnsi="Arial" w:cs="Arial"/>
          <w:sz w:val="21"/>
          <w:szCs w:val="21"/>
        </w:rPr>
        <w:t xml:space="preserve">del </w:t>
      </w:r>
      <w:r w:rsidR="007533A4">
        <w:rPr>
          <w:rFonts w:ascii="Arial" w:hAnsi="Arial" w:cs="Arial"/>
          <w:sz w:val="21"/>
          <w:szCs w:val="21"/>
        </w:rPr>
        <w:t>5,1</w:t>
      </w:r>
      <w:r>
        <w:rPr>
          <w:rFonts w:ascii="Arial" w:hAnsi="Arial" w:cs="Arial"/>
          <w:sz w:val="21"/>
          <w:szCs w:val="21"/>
        </w:rPr>
        <w:t xml:space="preserve">% </w:t>
      </w:r>
      <w:r w:rsidRPr="008B15EE">
        <w:rPr>
          <w:rFonts w:ascii="Arial" w:hAnsi="Arial" w:cs="Arial"/>
          <w:sz w:val="21"/>
          <w:szCs w:val="21"/>
        </w:rPr>
        <w:t>su bas</w:t>
      </w:r>
      <w:r>
        <w:rPr>
          <w:rFonts w:ascii="Arial" w:hAnsi="Arial" w:cs="Arial"/>
          <w:sz w:val="21"/>
          <w:szCs w:val="21"/>
        </w:rPr>
        <w:t>e annua, da +</w:t>
      </w:r>
      <w:r w:rsidR="00664CF1">
        <w:rPr>
          <w:rFonts w:ascii="Arial" w:hAnsi="Arial" w:cs="Arial"/>
          <w:sz w:val="21"/>
          <w:szCs w:val="21"/>
        </w:rPr>
        <w:t>4</w:t>
      </w:r>
      <w:r w:rsidR="00B97CD9">
        <w:rPr>
          <w:rFonts w:ascii="Arial" w:hAnsi="Arial" w:cs="Arial"/>
          <w:sz w:val="21"/>
          <w:szCs w:val="21"/>
        </w:rPr>
        <w:t>,2</w:t>
      </w:r>
      <w:r w:rsidRPr="008B15EE">
        <w:rPr>
          <w:rFonts w:ascii="Arial" w:hAnsi="Arial" w:cs="Arial"/>
          <w:sz w:val="21"/>
          <w:szCs w:val="21"/>
        </w:rPr>
        <w:t>% di</w:t>
      </w:r>
      <w:r w:rsidR="00B97CD9">
        <w:rPr>
          <w:rFonts w:ascii="Arial" w:hAnsi="Arial" w:cs="Arial"/>
          <w:sz w:val="21"/>
          <w:szCs w:val="21"/>
        </w:rPr>
        <w:t xml:space="preserve"> </w:t>
      </w:r>
      <w:r w:rsidR="00664CF1">
        <w:rPr>
          <w:rFonts w:ascii="Arial" w:hAnsi="Arial" w:cs="Arial"/>
          <w:sz w:val="21"/>
          <w:szCs w:val="21"/>
        </w:rPr>
        <w:t>dicembre</w:t>
      </w:r>
      <w:r>
        <w:rPr>
          <w:rFonts w:ascii="Arial" w:hAnsi="Arial" w:cs="Arial"/>
          <w:color w:val="000000"/>
          <w:kern w:val="0"/>
          <w:sz w:val="21"/>
          <w:szCs w:val="21"/>
        </w:rPr>
        <w:t xml:space="preserve"> (Prospetto 6).</w:t>
      </w:r>
    </w:p>
    <w:p w:rsidR="002C59AC" w:rsidRDefault="002C59AC" w:rsidP="002C59AC">
      <w:pPr>
        <w:spacing w:before="0" w:after="120"/>
        <w:jc w:val="both"/>
        <w:rPr>
          <w:rFonts w:ascii="Arial" w:hAnsi="Arial" w:cs="Arial"/>
          <w:color w:val="000000"/>
          <w:kern w:val="0"/>
          <w:sz w:val="21"/>
          <w:szCs w:val="21"/>
        </w:rPr>
      </w:pPr>
      <w:r w:rsidRPr="00664CF1">
        <w:rPr>
          <w:rFonts w:ascii="Arial" w:hAnsi="Arial" w:cs="Arial"/>
          <w:color w:val="000000"/>
          <w:kern w:val="0"/>
          <w:sz w:val="21"/>
          <w:szCs w:val="21"/>
        </w:rPr>
        <w:t xml:space="preserve">La </w:t>
      </w:r>
      <w:r>
        <w:rPr>
          <w:rFonts w:ascii="Arial" w:hAnsi="Arial" w:cs="Arial"/>
          <w:color w:val="000000"/>
          <w:kern w:val="0"/>
          <w:sz w:val="21"/>
          <w:szCs w:val="21"/>
        </w:rPr>
        <w:t>variazione congiunturale nulla</w:t>
      </w:r>
      <w:r w:rsidRPr="00664CF1">
        <w:rPr>
          <w:rFonts w:ascii="Arial" w:hAnsi="Arial" w:cs="Arial"/>
          <w:color w:val="000000"/>
          <w:kern w:val="0"/>
          <w:sz w:val="21"/>
          <w:szCs w:val="21"/>
        </w:rPr>
        <w:t xml:space="preserve"> dell’indice generale è imputabile all’andamento dei prezzi di Abbigliamento e calzature, che registrano un calo congiunturale (pari a -</w:t>
      </w:r>
      <w:r>
        <w:rPr>
          <w:rFonts w:ascii="Arial" w:hAnsi="Arial" w:cs="Arial"/>
          <w:color w:val="000000"/>
          <w:kern w:val="0"/>
          <w:sz w:val="21"/>
          <w:szCs w:val="21"/>
        </w:rPr>
        <w:t>21,5</w:t>
      </w:r>
      <w:r w:rsidRPr="00664CF1">
        <w:rPr>
          <w:rFonts w:ascii="Arial" w:hAnsi="Arial" w:cs="Arial"/>
          <w:color w:val="000000"/>
          <w:kern w:val="0"/>
          <w:sz w:val="21"/>
          <w:szCs w:val="21"/>
        </w:rPr>
        <w:t xml:space="preserve">%) </w:t>
      </w:r>
      <w:r>
        <w:rPr>
          <w:rFonts w:ascii="Arial" w:hAnsi="Arial" w:cs="Arial"/>
          <w:color w:val="000000"/>
          <w:kern w:val="0"/>
          <w:sz w:val="21"/>
          <w:szCs w:val="21"/>
        </w:rPr>
        <w:t>più ampio di quello di gennaio 2021</w:t>
      </w:r>
      <w:r w:rsidRPr="00664CF1">
        <w:rPr>
          <w:rFonts w:ascii="Arial" w:hAnsi="Arial" w:cs="Arial"/>
          <w:color w:val="000000"/>
          <w:kern w:val="0"/>
          <w:sz w:val="21"/>
          <w:szCs w:val="21"/>
        </w:rPr>
        <w:t xml:space="preserve"> (quando fu -</w:t>
      </w:r>
      <w:r>
        <w:rPr>
          <w:rFonts w:ascii="Arial" w:hAnsi="Arial" w:cs="Arial"/>
          <w:color w:val="000000"/>
          <w:kern w:val="0"/>
          <w:sz w:val="21"/>
          <w:szCs w:val="21"/>
        </w:rPr>
        <w:t>18,5</w:t>
      </w:r>
      <w:r w:rsidRPr="00664CF1">
        <w:rPr>
          <w:rFonts w:ascii="Arial" w:hAnsi="Arial" w:cs="Arial"/>
          <w:color w:val="000000"/>
          <w:kern w:val="0"/>
          <w:sz w:val="21"/>
          <w:szCs w:val="21"/>
        </w:rPr>
        <w:t>%), a causa all’avvio dei saldi invernali</w:t>
      </w:r>
      <w:r>
        <w:rPr>
          <w:rFonts w:ascii="Arial" w:hAnsi="Arial" w:cs="Arial"/>
          <w:color w:val="000000"/>
          <w:kern w:val="0"/>
          <w:sz w:val="21"/>
          <w:szCs w:val="21"/>
        </w:rPr>
        <w:t>, lo scorso anno,</w:t>
      </w:r>
      <w:r w:rsidRPr="00664CF1">
        <w:rPr>
          <w:rFonts w:ascii="Arial" w:hAnsi="Arial" w:cs="Arial"/>
          <w:color w:val="000000"/>
          <w:kern w:val="0"/>
          <w:sz w:val="21"/>
          <w:szCs w:val="21"/>
        </w:rPr>
        <w:t xml:space="preserve"> diversificato tra le regioni e distribuito tra gennaio e febbraio. Ciò si riflette sulla dinamica tendenziale di questo raggruppamento merceologico (infatti la divisione di spesa regist</w:t>
      </w:r>
      <w:r>
        <w:rPr>
          <w:rFonts w:ascii="Arial" w:hAnsi="Arial" w:cs="Arial"/>
          <w:color w:val="000000"/>
          <w:kern w:val="0"/>
          <w:sz w:val="21"/>
          <w:szCs w:val="21"/>
        </w:rPr>
        <w:t>r</w:t>
      </w:r>
      <w:r w:rsidRPr="00664CF1">
        <w:rPr>
          <w:rFonts w:ascii="Arial" w:hAnsi="Arial" w:cs="Arial"/>
          <w:color w:val="000000"/>
          <w:kern w:val="0"/>
          <w:sz w:val="21"/>
          <w:szCs w:val="21"/>
        </w:rPr>
        <w:t>a un</w:t>
      </w:r>
      <w:r>
        <w:rPr>
          <w:rFonts w:ascii="Arial" w:hAnsi="Arial" w:cs="Arial"/>
          <w:color w:val="000000"/>
          <w:kern w:val="0"/>
          <w:sz w:val="21"/>
          <w:szCs w:val="21"/>
        </w:rPr>
        <w:t xml:space="preserve">a diminuzione del 2,5% su base annua, </w:t>
      </w:r>
      <w:r w:rsidRPr="00664CF1">
        <w:rPr>
          <w:rFonts w:ascii="Arial" w:hAnsi="Arial" w:cs="Arial"/>
          <w:color w:val="000000"/>
          <w:kern w:val="0"/>
          <w:sz w:val="21"/>
          <w:szCs w:val="21"/>
        </w:rPr>
        <w:t xml:space="preserve">invertendo la tendenza </w:t>
      </w:r>
      <w:r>
        <w:rPr>
          <w:rFonts w:ascii="Arial" w:hAnsi="Arial" w:cs="Arial"/>
          <w:color w:val="000000"/>
          <w:kern w:val="0"/>
          <w:sz w:val="21"/>
          <w:szCs w:val="21"/>
        </w:rPr>
        <w:t>da +1,2</w:t>
      </w:r>
      <w:r w:rsidRPr="00664CF1">
        <w:rPr>
          <w:rFonts w:ascii="Arial" w:hAnsi="Arial" w:cs="Arial"/>
          <w:color w:val="000000"/>
          <w:kern w:val="0"/>
          <w:sz w:val="21"/>
          <w:szCs w:val="21"/>
        </w:rPr>
        <w:t>% di dicembre</w:t>
      </w:r>
      <w:r>
        <w:rPr>
          <w:rFonts w:ascii="Arial" w:hAnsi="Arial" w:cs="Arial"/>
          <w:color w:val="000000"/>
          <w:kern w:val="0"/>
          <w:sz w:val="21"/>
          <w:szCs w:val="21"/>
        </w:rPr>
        <w:t>).</w:t>
      </w:r>
    </w:p>
    <w:p w:rsidR="002C59AC" w:rsidRDefault="002C59AC" w:rsidP="002C59AC">
      <w:pPr>
        <w:spacing w:before="0" w:after="120"/>
        <w:jc w:val="both"/>
        <w:rPr>
          <w:rFonts w:ascii="Arial" w:hAnsi="Arial" w:cs="Arial"/>
          <w:iCs/>
          <w:sz w:val="21"/>
          <w:szCs w:val="21"/>
        </w:rPr>
      </w:pPr>
      <w:r>
        <w:rPr>
          <w:rFonts w:ascii="Arial" w:hAnsi="Arial" w:cs="Arial"/>
          <w:color w:val="000000"/>
          <w:kern w:val="0"/>
          <w:sz w:val="21"/>
          <w:szCs w:val="21"/>
        </w:rPr>
        <w:t>L’</w:t>
      </w:r>
      <w:r w:rsidRPr="00931743">
        <w:rPr>
          <w:rFonts w:ascii="Arial" w:hAnsi="Arial" w:cs="Arial"/>
          <w:color w:val="000000"/>
          <w:kern w:val="0"/>
          <w:sz w:val="21"/>
          <w:szCs w:val="21"/>
        </w:rPr>
        <w:t>a</w:t>
      </w:r>
      <w:r>
        <w:rPr>
          <w:rFonts w:ascii="Arial" w:hAnsi="Arial" w:cs="Arial"/>
          <w:color w:val="000000"/>
          <w:kern w:val="0"/>
          <w:sz w:val="21"/>
          <w:szCs w:val="21"/>
        </w:rPr>
        <w:t xml:space="preserve">ccelerazione </w:t>
      </w:r>
      <w:r w:rsidRPr="00931743">
        <w:rPr>
          <w:rFonts w:ascii="Arial" w:hAnsi="Arial" w:cs="Arial"/>
          <w:color w:val="000000"/>
          <w:kern w:val="0"/>
          <w:sz w:val="21"/>
          <w:szCs w:val="21"/>
        </w:rPr>
        <w:t xml:space="preserve">dell’IPCA </w:t>
      </w:r>
      <w:r>
        <w:rPr>
          <w:rFonts w:ascii="Arial" w:hAnsi="Arial" w:cs="Arial"/>
          <w:color w:val="000000"/>
          <w:kern w:val="0"/>
          <w:sz w:val="21"/>
          <w:szCs w:val="21"/>
        </w:rPr>
        <w:t xml:space="preserve">è spiegata, come per il NIC, dalla dinamica dei prezzi dei prodotti energetici, che determinano la crescita sostenuta dei prezzi di Abitazione, acqua, elettricità e combustibili (da +14,4% a +22,8%). </w:t>
      </w:r>
      <w:r w:rsidRPr="00664CF1">
        <w:rPr>
          <w:rFonts w:ascii="Arial" w:hAnsi="Arial" w:cs="Arial"/>
          <w:color w:val="000000"/>
          <w:kern w:val="0"/>
          <w:sz w:val="21"/>
          <w:szCs w:val="21"/>
        </w:rPr>
        <w:t>Accelerano, sebbene in misura minore, anche i prezzi dei Prodotti alimentari e beva</w:t>
      </w:r>
      <w:r>
        <w:rPr>
          <w:rFonts w:ascii="Arial" w:hAnsi="Arial" w:cs="Arial"/>
          <w:color w:val="000000"/>
          <w:kern w:val="0"/>
          <w:sz w:val="21"/>
          <w:szCs w:val="21"/>
        </w:rPr>
        <w:t>nde analcoliche (da +2,9% a +3,8</w:t>
      </w:r>
      <w:r w:rsidRPr="00664CF1">
        <w:rPr>
          <w:rFonts w:ascii="Arial" w:hAnsi="Arial" w:cs="Arial"/>
          <w:color w:val="000000"/>
          <w:kern w:val="0"/>
          <w:sz w:val="21"/>
          <w:szCs w:val="21"/>
        </w:rPr>
        <w:t xml:space="preserve">%), quelli dei </w:t>
      </w:r>
      <w:r>
        <w:rPr>
          <w:rFonts w:ascii="Arial" w:hAnsi="Arial" w:cs="Arial"/>
          <w:color w:val="000000"/>
          <w:kern w:val="0"/>
          <w:sz w:val="21"/>
          <w:szCs w:val="21"/>
        </w:rPr>
        <w:t>Mobi</w:t>
      </w:r>
      <w:r w:rsidRPr="00664CF1">
        <w:rPr>
          <w:rFonts w:ascii="Arial" w:hAnsi="Arial" w:cs="Arial"/>
          <w:color w:val="000000"/>
          <w:kern w:val="0"/>
          <w:sz w:val="21"/>
          <w:szCs w:val="21"/>
        </w:rPr>
        <w:t>li, articoli e servizi per l</w:t>
      </w:r>
      <w:r>
        <w:rPr>
          <w:rFonts w:ascii="Arial" w:hAnsi="Arial" w:cs="Arial"/>
          <w:color w:val="000000"/>
          <w:kern w:val="0"/>
          <w:sz w:val="21"/>
          <w:szCs w:val="21"/>
        </w:rPr>
        <w:t>a casa (da +1,7% a +2,3</w:t>
      </w:r>
      <w:r w:rsidRPr="00664CF1">
        <w:rPr>
          <w:rFonts w:ascii="Arial" w:hAnsi="Arial" w:cs="Arial"/>
          <w:color w:val="000000"/>
          <w:kern w:val="0"/>
          <w:sz w:val="21"/>
          <w:szCs w:val="21"/>
        </w:rPr>
        <w:t>%),</w:t>
      </w:r>
      <w:r>
        <w:rPr>
          <w:rFonts w:ascii="Arial" w:hAnsi="Arial" w:cs="Arial"/>
          <w:color w:val="000000"/>
          <w:kern w:val="0"/>
          <w:sz w:val="21"/>
          <w:szCs w:val="21"/>
        </w:rPr>
        <w:t xml:space="preserve"> di</w:t>
      </w:r>
      <w:r w:rsidRPr="00664CF1">
        <w:rPr>
          <w:rFonts w:ascii="Arial" w:hAnsi="Arial" w:cs="Arial"/>
          <w:color w:val="000000"/>
          <w:kern w:val="0"/>
          <w:sz w:val="21"/>
          <w:szCs w:val="21"/>
        </w:rPr>
        <w:t xml:space="preserve"> Ricreazione, spett</w:t>
      </w:r>
      <w:r>
        <w:rPr>
          <w:rFonts w:ascii="Arial" w:hAnsi="Arial" w:cs="Arial"/>
          <w:color w:val="000000"/>
          <w:kern w:val="0"/>
          <w:sz w:val="21"/>
          <w:szCs w:val="21"/>
        </w:rPr>
        <w:t>acoli e cultura (da +0,1% a +1,6</w:t>
      </w:r>
      <w:r w:rsidRPr="00664CF1">
        <w:rPr>
          <w:rFonts w:ascii="Arial" w:hAnsi="Arial" w:cs="Arial"/>
          <w:color w:val="000000"/>
          <w:kern w:val="0"/>
          <w:sz w:val="21"/>
          <w:szCs w:val="21"/>
        </w:rPr>
        <w:t>%) e dei Servizi rice</w:t>
      </w:r>
      <w:r>
        <w:rPr>
          <w:rFonts w:ascii="Arial" w:hAnsi="Arial" w:cs="Arial"/>
          <w:color w:val="000000"/>
          <w:kern w:val="0"/>
          <w:sz w:val="21"/>
          <w:szCs w:val="21"/>
        </w:rPr>
        <w:t>ttivi e di ristorazione (da +3,6% a +4,4</w:t>
      </w:r>
      <w:r w:rsidRPr="00664CF1">
        <w:rPr>
          <w:rFonts w:ascii="Arial" w:hAnsi="Arial" w:cs="Arial"/>
          <w:color w:val="000000"/>
          <w:kern w:val="0"/>
          <w:sz w:val="21"/>
          <w:szCs w:val="21"/>
        </w:rPr>
        <w:t>%)</w:t>
      </w:r>
      <w:r>
        <w:rPr>
          <w:rFonts w:ascii="Arial" w:hAnsi="Arial" w:cs="Arial"/>
          <w:color w:val="000000"/>
          <w:kern w:val="0"/>
          <w:sz w:val="21"/>
          <w:szCs w:val="21"/>
        </w:rPr>
        <w:t xml:space="preserve">. Rallentano invece </w:t>
      </w:r>
      <w:r w:rsidRPr="00664CF1">
        <w:rPr>
          <w:rFonts w:ascii="Arial" w:hAnsi="Arial" w:cs="Arial"/>
          <w:color w:val="000000"/>
          <w:kern w:val="0"/>
          <w:sz w:val="21"/>
          <w:szCs w:val="21"/>
        </w:rPr>
        <w:t>i prezz</w:t>
      </w:r>
      <w:r>
        <w:rPr>
          <w:rFonts w:ascii="Arial" w:hAnsi="Arial" w:cs="Arial"/>
          <w:color w:val="000000"/>
          <w:kern w:val="0"/>
          <w:sz w:val="21"/>
          <w:szCs w:val="21"/>
        </w:rPr>
        <w:t>i dei Trasporti (da +9,6% a +7,8</w:t>
      </w:r>
      <w:r w:rsidRPr="00664CF1">
        <w:rPr>
          <w:rFonts w:ascii="Arial" w:hAnsi="Arial" w:cs="Arial"/>
          <w:color w:val="000000"/>
          <w:kern w:val="0"/>
          <w:sz w:val="21"/>
          <w:szCs w:val="21"/>
        </w:rPr>
        <w:t>%),</w:t>
      </w:r>
      <w:r>
        <w:rPr>
          <w:rFonts w:ascii="Arial" w:hAnsi="Arial" w:cs="Arial"/>
          <w:color w:val="000000"/>
          <w:kern w:val="0"/>
          <w:sz w:val="21"/>
          <w:szCs w:val="21"/>
        </w:rPr>
        <w:t xml:space="preserve"> </w:t>
      </w:r>
      <w:r w:rsidR="001B12CC">
        <w:rPr>
          <w:rFonts w:ascii="Arial" w:hAnsi="Arial" w:cs="Arial"/>
          <w:color w:val="000000"/>
          <w:kern w:val="0"/>
          <w:sz w:val="21"/>
          <w:szCs w:val="21"/>
        </w:rPr>
        <w:t>a causa dei S</w:t>
      </w:r>
      <w:r w:rsidRPr="00DF5CD1">
        <w:rPr>
          <w:rFonts w:ascii="Arial" w:hAnsi="Arial" w:cs="Arial"/>
          <w:color w:val="000000"/>
          <w:kern w:val="0"/>
          <w:sz w:val="21"/>
          <w:szCs w:val="21"/>
        </w:rPr>
        <w:t>ervizi relativi ai trasporti</w:t>
      </w:r>
      <w:r w:rsidR="001B12CC">
        <w:rPr>
          <w:rFonts w:ascii="Arial" w:hAnsi="Arial" w:cs="Arial"/>
          <w:color w:val="000000"/>
          <w:kern w:val="0"/>
          <w:sz w:val="21"/>
          <w:szCs w:val="21"/>
        </w:rPr>
        <w:t>,</w:t>
      </w:r>
      <w:r>
        <w:rPr>
          <w:rFonts w:ascii="Arial" w:hAnsi="Arial" w:cs="Arial"/>
          <w:color w:val="000000"/>
          <w:kern w:val="0"/>
          <w:sz w:val="21"/>
          <w:szCs w:val="21"/>
        </w:rPr>
        <w:t xml:space="preserve"> e </w:t>
      </w:r>
      <w:r w:rsidRPr="00DF5CD1">
        <w:rPr>
          <w:rFonts w:ascii="Arial" w:hAnsi="Arial" w:cs="Arial"/>
          <w:color w:val="000000"/>
          <w:kern w:val="0"/>
          <w:sz w:val="21"/>
          <w:szCs w:val="21"/>
        </w:rPr>
        <w:t>si amplia la flessione di quelli delle Comunicazioni</w:t>
      </w:r>
      <w:r>
        <w:rPr>
          <w:rFonts w:ascii="Arial" w:hAnsi="Arial" w:cs="Arial"/>
          <w:color w:val="000000"/>
          <w:kern w:val="0"/>
          <w:sz w:val="21"/>
          <w:szCs w:val="21"/>
        </w:rPr>
        <w:t xml:space="preserve"> </w:t>
      </w:r>
      <w:r w:rsidRPr="00664CF1">
        <w:rPr>
          <w:rFonts w:ascii="Arial" w:hAnsi="Arial" w:cs="Arial"/>
          <w:color w:val="000000"/>
          <w:kern w:val="0"/>
          <w:sz w:val="21"/>
          <w:szCs w:val="21"/>
        </w:rPr>
        <w:t xml:space="preserve">(da </w:t>
      </w:r>
      <w:r>
        <w:rPr>
          <w:rFonts w:ascii="Arial" w:hAnsi="Arial" w:cs="Arial"/>
          <w:color w:val="000000"/>
          <w:kern w:val="0"/>
          <w:sz w:val="21"/>
          <w:szCs w:val="21"/>
        </w:rPr>
        <w:t>-2,5% a -4,0</w:t>
      </w:r>
      <w:r w:rsidRPr="00664CF1">
        <w:rPr>
          <w:rFonts w:ascii="Arial" w:hAnsi="Arial" w:cs="Arial"/>
          <w:color w:val="000000"/>
          <w:kern w:val="0"/>
          <w:sz w:val="21"/>
          <w:szCs w:val="21"/>
        </w:rPr>
        <w:t xml:space="preserve">%). </w:t>
      </w:r>
    </w:p>
    <w:p w:rsidR="005637A4" w:rsidRDefault="005637A4" w:rsidP="005637A4">
      <w:pPr>
        <w:spacing w:before="0" w:after="120"/>
        <w:jc w:val="both"/>
        <w:rPr>
          <w:rFonts w:ascii="Arial" w:hAnsi="Arial" w:cs="Arial"/>
          <w:color w:val="000000"/>
          <w:kern w:val="0"/>
          <w:sz w:val="21"/>
          <w:szCs w:val="21"/>
        </w:rPr>
      </w:pPr>
    </w:p>
    <w:p w:rsidR="00373F6B" w:rsidRPr="00C8504B" w:rsidRDefault="00373F6B" w:rsidP="0027680C">
      <w:pPr>
        <w:spacing w:before="0" w:after="120"/>
        <w:jc w:val="both"/>
        <w:rPr>
          <w:rFonts w:ascii="Arial Narrow" w:hAnsi="Arial Narrow" w:cs="Arial"/>
          <w:color w:val="5F5F5F"/>
          <w:sz w:val="22"/>
          <w:szCs w:val="22"/>
        </w:rPr>
      </w:pPr>
      <w:r w:rsidRPr="00C8504B">
        <w:rPr>
          <w:rFonts w:ascii="Arial Narrow" w:hAnsi="Arial Narrow" w:cs="Arial"/>
          <w:b/>
          <w:color w:val="E42618"/>
          <w:kern w:val="0"/>
          <w:sz w:val="22"/>
          <w:szCs w:val="22"/>
        </w:rPr>
        <w:t>PROSPETTO</w:t>
      </w:r>
      <w:r w:rsidR="00E74721" w:rsidRPr="00C8504B">
        <w:rPr>
          <w:rFonts w:ascii="Arial Narrow" w:hAnsi="Arial Narrow" w:cs="Arial"/>
          <w:b/>
          <w:color w:val="E42618"/>
          <w:kern w:val="0"/>
          <w:sz w:val="22"/>
          <w:szCs w:val="22"/>
        </w:rPr>
        <w:t xml:space="preserve"> 6</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DIVISIONE DI SPESA</w:t>
      </w:r>
      <w:r w:rsidR="00AB4D53" w:rsidRPr="00C8504B">
        <w:rPr>
          <w:rFonts w:ascii="Arial Narrow" w:hAnsi="Arial Narrow" w:cs="Arial"/>
          <w:b/>
          <w:color w:val="5F5F5F"/>
        </w:rPr>
        <w:br/>
      </w:r>
      <w:r w:rsidR="005B7BD6" w:rsidRPr="005B7BD6">
        <w:rPr>
          <w:rFonts w:ascii="Arial Narrow" w:hAnsi="Arial Narrow" w:cs="Arial"/>
          <w:color w:val="5F5F5F"/>
        </w:rPr>
        <w:t>Gennaio 2022</w:t>
      </w:r>
      <w:r w:rsidRPr="00C8504B">
        <w:rPr>
          <w:rFonts w:ascii="Arial Narrow" w:hAnsi="Arial Narrow" w:cs="Arial"/>
          <w:color w:val="5F5F5F"/>
        </w:rPr>
        <w:t>, pesi e variazioni percentuali</w:t>
      </w:r>
      <w:r w:rsidR="00625F9C" w:rsidRPr="00C8504B">
        <w:rPr>
          <w:rFonts w:ascii="Arial Narrow" w:hAnsi="Arial Narrow" w:cs="Arial"/>
          <w:color w:val="5F5F5F"/>
        </w:rPr>
        <w:t xml:space="preserve"> </w:t>
      </w:r>
      <w:r w:rsidR="00AD29B6" w:rsidRPr="00C8504B">
        <w:rPr>
          <w:rFonts w:ascii="Arial Narrow" w:hAnsi="Arial Narrow" w:cs="Arial"/>
          <w:color w:val="5F5F5F"/>
        </w:rPr>
        <w:t>congiunturali</w:t>
      </w:r>
      <w:r w:rsidR="00625F9C" w:rsidRPr="00C8504B">
        <w:rPr>
          <w:rFonts w:ascii="Arial Narrow" w:hAnsi="Arial Narrow" w:cs="Arial"/>
          <w:color w:val="5F5F5F"/>
        </w:rPr>
        <w:t xml:space="preserve"> e tendenziali</w:t>
      </w:r>
      <w:r w:rsidRPr="00C8504B">
        <w:rPr>
          <w:rFonts w:ascii="Arial Narrow" w:hAnsi="Arial Narrow" w:cs="Arial"/>
          <w:color w:val="5F5F5F"/>
        </w:rPr>
        <w:t xml:space="preserve"> (base 2015=100</w:t>
      </w:r>
      <w:r w:rsidRPr="00C8504B">
        <w:rPr>
          <w:rFonts w:ascii="Arial Narrow" w:hAnsi="Arial Narrow" w:cs="Arial"/>
          <w:color w:val="5F5F5F"/>
          <w:sz w:val="22"/>
          <w:szCs w:val="22"/>
        </w:rPr>
        <w:t xml:space="preserve">) </w:t>
      </w:r>
    </w:p>
    <w:tbl>
      <w:tblPr>
        <w:tblW w:w="10250" w:type="dxa"/>
        <w:jc w:val="center"/>
        <w:tblBorders>
          <w:top w:val="single" w:sz="4" w:space="0" w:color="080808"/>
          <w:bottom w:val="single" w:sz="4" w:space="0" w:color="080808"/>
          <w:insideH w:val="single" w:sz="4" w:space="0" w:color="080808"/>
        </w:tblBorders>
        <w:tblCellMar>
          <w:left w:w="70" w:type="dxa"/>
          <w:right w:w="0" w:type="dxa"/>
        </w:tblCellMar>
        <w:tblLook w:val="0000" w:firstRow="0" w:lastRow="0" w:firstColumn="0" w:lastColumn="0" w:noHBand="0" w:noVBand="0"/>
      </w:tblPr>
      <w:tblGrid>
        <w:gridCol w:w="3593"/>
        <w:gridCol w:w="1294"/>
        <w:gridCol w:w="1080"/>
        <w:gridCol w:w="69"/>
        <w:gridCol w:w="1005"/>
        <w:gridCol w:w="62"/>
        <w:gridCol w:w="1087"/>
        <w:gridCol w:w="62"/>
        <w:gridCol w:w="934"/>
        <w:gridCol w:w="1051"/>
        <w:gridCol w:w="13"/>
      </w:tblGrid>
      <w:tr w:rsidR="00FD0188" w:rsidRPr="00C8504B" w:rsidTr="00C70BCF">
        <w:trPr>
          <w:gridAfter w:val="1"/>
          <w:wAfter w:w="13" w:type="dxa"/>
          <w:trHeight w:val="347"/>
          <w:jc w:val="center"/>
        </w:trPr>
        <w:tc>
          <w:tcPr>
            <w:tcW w:w="3593" w:type="dxa"/>
            <w:vMerge w:val="restart"/>
            <w:vAlign w:val="center"/>
          </w:tcPr>
          <w:p w:rsidR="00FD0188" w:rsidRPr="00C8504B" w:rsidRDefault="00FD0188" w:rsidP="00FD0188">
            <w:pPr>
              <w:spacing w:before="40" w:after="20"/>
              <w:ind w:left="-57"/>
              <w:rPr>
                <w:rFonts w:ascii="Arial Narrow" w:hAnsi="Arial Narrow" w:cs="Arial"/>
                <w:bCs/>
                <w:sz w:val="18"/>
                <w:szCs w:val="18"/>
              </w:rPr>
            </w:pPr>
            <w:r w:rsidRPr="00C8504B">
              <w:rPr>
                <w:rFonts w:ascii="Arial Narrow" w:hAnsi="Arial Narrow" w:cs="Arial"/>
                <w:b/>
                <w:bCs/>
                <w:sz w:val="18"/>
                <w:szCs w:val="18"/>
              </w:rPr>
              <w:t>DIVISIONI DI SPESA</w:t>
            </w:r>
          </w:p>
        </w:tc>
        <w:tc>
          <w:tcPr>
            <w:tcW w:w="1294" w:type="dxa"/>
            <w:vMerge w:val="restart"/>
            <w:shd w:val="clear" w:color="auto" w:fill="D9D9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154" w:type="dxa"/>
            <w:gridSpan w:val="3"/>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2145" w:type="dxa"/>
            <w:gridSpan w:val="4"/>
            <w:shd w:val="clear" w:color="auto" w:fill="D9D9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51" w:type="dxa"/>
            <w:vMerge w:val="restart"/>
            <w:shd w:val="clear" w:color="auto" w:fill="auto"/>
            <w:vAlign w:val="center"/>
          </w:tcPr>
          <w:p w:rsidR="00FD0188" w:rsidRPr="00C8504B" w:rsidRDefault="00873EA2" w:rsidP="00FD0188">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gennaio</w:t>
            </w:r>
          </w:p>
        </w:tc>
      </w:tr>
      <w:tr w:rsidR="00EA385D" w:rsidRPr="00C8504B" w:rsidTr="00C70BCF">
        <w:trPr>
          <w:gridAfter w:val="1"/>
          <w:wAfter w:w="13" w:type="dxa"/>
          <w:trHeight w:val="346"/>
          <w:jc w:val="center"/>
        </w:trPr>
        <w:tc>
          <w:tcPr>
            <w:tcW w:w="3593" w:type="dxa"/>
            <w:vMerge/>
            <w:vAlign w:val="center"/>
          </w:tcPr>
          <w:p w:rsidR="00EA385D" w:rsidRPr="00C8504B" w:rsidRDefault="00EA385D" w:rsidP="00EA385D">
            <w:pPr>
              <w:spacing w:before="40" w:after="20"/>
              <w:ind w:left="-57"/>
              <w:rPr>
                <w:rFonts w:ascii="Arial Narrow" w:hAnsi="Arial Narrow" w:cs="Arial"/>
                <w:b/>
                <w:bCs/>
                <w:sz w:val="18"/>
                <w:szCs w:val="18"/>
              </w:rPr>
            </w:pPr>
          </w:p>
        </w:tc>
        <w:tc>
          <w:tcPr>
            <w:tcW w:w="1294" w:type="dxa"/>
            <w:vMerge/>
            <w:shd w:val="clear" w:color="auto" w:fill="D9D9D9"/>
            <w:vAlign w:val="center"/>
          </w:tcPr>
          <w:p w:rsidR="00EA385D" w:rsidRPr="00C8504B" w:rsidRDefault="00EA385D" w:rsidP="00EA385D">
            <w:pPr>
              <w:spacing w:before="40" w:after="20"/>
              <w:ind w:right="57"/>
              <w:jc w:val="right"/>
              <w:rPr>
                <w:rFonts w:ascii="Arial Narrow" w:hAnsi="Arial Narrow" w:cs="Arial"/>
                <w:b/>
                <w:bCs/>
                <w:sz w:val="18"/>
                <w:szCs w:val="18"/>
              </w:rPr>
            </w:pPr>
          </w:p>
        </w:tc>
        <w:tc>
          <w:tcPr>
            <w:tcW w:w="1149" w:type="dxa"/>
            <w:gridSpan w:val="2"/>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E03E58" w:rsidRDefault="00EA385D" w:rsidP="00EA385D">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dic-21</w:t>
            </w:r>
          </w:p>
        </w:tc>
        <w:tc>
          <w:tcPr>
            <w:tcW w:w="1005"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149" w:type="dxa"/>
            <w:gridSpan w:val="2"/>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gen-21</w:t>
            </w:r>
          </w:p>
        </w:tc>
        <w:tc>
          <w:tcPr>
            <w:tcW w:w="996" w:type="dxa"/>
            <w:gridSpan w:val="2"/>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051" w:type="dxa"/>
            <w:vMerge/>
            <w:shd w:val="clear" w:color="auto" w:fill="auto"/>
            <w:vAlign w:val="center"/>
          </w:tcPr>
          <w:p w:rsidR="00EA385D" w:rsidRPr="00F86CA5" w:rsidRDefault="00EA385D" w:rsidP="00EA385D">
            <w:pPr>
              <w:spacing w:before="40" w:after="20"/>
              <w:ind w:right="57"/>
              <w:jc w:val="right"/>
              <w:rPr>
                <w:rFonts w:ascii="Arial Narrow" w:hAnsi="Arial Narrow" w:cs="Arial"/>
                <w:b/>
                <w:bCs/>
                <w:sz w:val="18"/>
                <w:szCs w:val="18"/>
              </w:rPr>
            </w:pP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Prodotti alimentari e bevande analcoliche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194.554</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+1,6</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+0,7</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+3,8</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+2,9</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+3,3</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Bevande alcoliche e tabacchi</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36.056</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+1,0</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+1,0</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+0,2</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+0,2</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+0,3</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Abbigliamento e calzature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73.176</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-21,5</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-18,5</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-2,5</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+1,2</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-14,7</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116.179</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+9,0</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+1,5</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+22,8</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+14,4</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+17,7</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Mobili, articoli e servizi per la casa</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84.989</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+0,3</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-0,3</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+2,3</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+1,7</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+1,5</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Servizi sanitari e spese per la salute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46.145</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0,0</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+0,4</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+0,6</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+1,0</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+0,2</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Trasporti</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153.242</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-0,4</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+1,3</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+7,8</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+9,6</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+3,4</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Comunicazioni</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27.265</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+1,5</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-4,0</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-2,5</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-2,2</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Ricreazione, spettacoli e cultura</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57.663</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+0,6</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-0,9</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+1,6</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+0,1</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+1,8</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Istruzione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11.474</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0,0</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0,0</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-0,4</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-0,4</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-0,3</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Servizi ricettivi e di ristorazione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99.319</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+1,5</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+0,7</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+4,4</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+3,6</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+2,1</w:t>
            </w:r>
          </w:p>
        </w:tc>
      </w:tr>
      <w:tr w:rsidR="00393591" w:rsidRPr="00C8504B" w:rsidTr="00393591">
        <w:trPr>
          <w:trHeight w:val="255"/>
          <w:jc w:val="center"/>
        </w:trPr>
        <w:tc>
          <w:tcPr>
            <w:tcW w:w="3593" w:type="dxa"/>
            <w:vAlign w:val="center"/>
          </w:tcPr>
          <w:p w:rsidR="00393591" w:rsidRPr="00C8504B" w:rsidRDefault="00393591" w:rsidP="00393591">
            <w:pPr>
              <w:spacing w:before="40" w:after="20"/>
              <w:ind w:left="-57"/>
              <w:rPr>
                <w:rFonts w:ascii="Arial Narrow" w:hAnsi="Arial Narrow" w:cs="Arial"/>
                <w:sz w:val="18"/>
                <w:szCs w:val="18"/>
              </w:rPr>
            </w:pPr>
            <w:r w:rsidRPr="00C8504B">
              <w:rPr>
                <w:rFonts w:ascii="Arial Narrow" w:hAnsi="Arial Narrow" w:cs="Arial"/>
                <w:sz w:val="18"/>
                <w:szCs w:val="18"/>
              </w:rPr>
              <w:t>Altri beni e servizi</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99.938</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-0,3</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-0,4</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+0,8</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+0,7</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+0,3</w:t>
            </w:r>
          </w:p>
        </w:tc>
      </w:tr>
      <w:tr w:rsidR="00393591" w:rsidRPr="005F1D37" w:rsidTr="00393591">
        <w:trPr>
          <w:trHeight w:val="255"/>
          <w:jc w:val="center"/>
        </w:trPr>
        <w:tc>
          <w:tcPr>
            <w:tcW w:w="3593" w:type="dxa"/>
            <w:shd w:val="clear" w:color="auto" w:fill="E42618"/>
            <w:vAlign w:val="center"/>
          </w:tcPr>
          <w:p w:rsidR="00393591" w:rsidRPr="00C8504B" w:rsidRDefault="00393591" w:rsidP="00393591">
            <w:pPr>
              <w:spacing w:before="40" w:after="20"/>
              <w:ind w:left="-69"/>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94" w:type="dxa"/>
            <w:shd w:val="clear" w:color="auto" w:fill="E42618"/>
            <w:vAlign w:val="center"/>
          </w:tcPr>
          <w:p w:rsidR="00393591" w:rsidRPr="00B9429C" w:rsidRDefault="00393591" w:rsidP="00B9429C">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1.000.000</w:t>
            </w:r>
          </w:p>
        </w:tc>
        <w:tc>
          <w:tcPr>
            <w:tcW w:w="1080" w:type="dxa"/>
            <w:shd w:val="clear" w:color="auto" w:fill="E42618"/>
            <w:vAlign w:val="center"/>
          </w:tcPr>
          <w:p w:rsidR="00393591" w:rsidRPr="00B9429C" w:rsidRDefault="00393591" w:rsidP="00B9429C">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0,0</w:t>
            </w:r>
          </w:p>
        </w:tc>
        <w:tc>
          <w:tcPr>
            <w:tcW w:w="1136" w:type="dxa"/>
            <w:gridSpan w:val="3"/>
            <w:shd w:val="clear" w:color="auto" w:fill="E42618"/>
            <w:tcMar>
              <w:left w:w="57" w:type="dxa"/>
              <w:right w:w="113" w:type="dxa"/>
            </w:tcMar>
            <w:vAlign w:val="center"/>
          </w:tcPr>
          <w:p w:rsidR="00393591" w:rsidRPr="00B9429C" w:rsidRDefault="00393591" w:rsidP="00393591">
            <w:pPr>
              <w:spacing w:before="40" w:after="20"/>
              <w:ind w:lef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-0,9</w:t>
            </w:r>
          </w:p>
        </w:tc>
        <w:tc>
          <w:tcPr>
            <w:tcW w:w="1149" w:type="dxa"/>
            <w:gridSpan w:val="2"/>
            <w:shd w:val="clear" w:color="auto" w:fill="E42618"/>
            <w:vAlign w:val="center"/>
          </w:tcPr>
          <w:p w:rsidR="00393591" w:rsidRPr="00B9429C" w:rsidRDefault="00393591" w:rsidP="00B9429C">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+5,1</w:t>
            </w:r>
          </w:p>
        </w:tc>
        <w:tc>
          <w:tcPr>
            <w:tcW w:w="934" w:type="dxa"/>
            <w:shd w:val="clear" w:color="auto" w:fill="E42618"/>
            <w:vAlign w:val="center"/>
          </w:tcPr>
          <w:p w:rsidR="00393591" w:rsidRPr="00B9429C" w:rsidRDefault="00393591" w:rsidP="00B9429C">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+4,2</w:t>
            </w:r>
          </w:p>
        </w:tc>
        <w:tc>
          <w:tcPr>
            <w:tcW w:w="1064" w:type="dxa"/>
            <w:gridSpan w:val="2"/>
            <w:shd w:val="clear" w:color="auto" w:fill="E42618"/>
            <w:tcMar>
              <w:right w:w="68" w:type="dxa"/>
            </w:tcMar>
            <w:vAlign w:val="center"/>
          </w:tcPr>
          <w:p w:rsidR="00393591" w:rsidRPr="00B9429C" w:rsidRDefault="00393591" w:rsidP="00393591">
            <w:pPr>
              <w:spacing w:before="40" w:after="20"/>
              <w:ind w:lef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+2,6</w:t>
            </w:r>
          </w:p>
        </w:tc>
      </w:tr>
      <w:tr w:rsidR="00393591" w:rsidRPr="00440749" w:rsidTr="00393591">
        <w:trPr>
          <w:trHeight w:val="255"/>
          <w:jc w:val="center"/>
        </w:trPr>
        <w:tc>
          <w:tcPr>
            <w:tcW w:w="3593" w:type="dxa"/>
            <w:vAlign w:val="center"/>
          </w:tcPr>
          <w:p w:rsidR="00393591" w:rsidRPr="00530AB1" w:rsidRDefault="00393591" w:rsidP="00393591">
            <w:pPr>
              <w:spacing w:before="40" w:after="20"/>
              <w:ind w:left="-57"/>
              <w:rPr>
                <w:rFonts w:ascii="Arial Narrow" w:hAnsi="Arial Narrow" w:cs="Arial"/>
                <w:sz w:val="18"/>
                <w:szCs w:val="18"/>
                <w:vertAlign w:val="superscript"/>
              </w:rPr>
            </w:pPr>
            <w:r w:rsidRPr="00B10311">
              <w:rPr>
                <w:rFonts w:ascii="Arial Narrow" w:hAnsi="Arial Narrow" w:cs="Arial"/>
                <w:sz w:val="18"/>
                <w:szCs w:val="18"/>
              </w:rPr>
              <w:t>Indice generale a tassazione costante</w:t>
            </w:r>
          </w:p>
        </w:tc>
        <w:tc>
          <w:tcPr>
            <w:tcW w:w="129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1.000.000</w:t>
            </w:r>
          </w:p>
        </w:tc>
        <w:tc>
          <w:tcPr>
            <w:tcW w:w="1080" w:type="dxa"/>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-0,8</w:t>
            </w:r>
          </w:p>
        </w:tc>
        <w:tc>
          <w:tcPr>
            <w:tcW w:w="1149" w:type="dxa"/>
            <w:gridSpan w:val="2"/>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+5,4</w:t>
            </w:r>
          </w:p>
        </w:tc>
        <w:tc>
          <w:tcPr>
            <w:tcW w:w="934" w:type="dxa"/>
            <w:shd w:val="clear" w:color="auto" w:fill="D9D9D9"/>
            <w:vAlign w:val="center"/>
          </w:tcPr>
          <w:p w:rsidR="00393591" w:rsidRPr="00393591" w:rsidRDefault="00393591" w:rsidP="00B9429C">
            <w:pPr>
              <w:spacing w:before="40" w:after="20"/>
              <w:ind w:left="-57" w:right="57"/>
              <w:jc w:val="right"/>
              <w:rPr>
                <w:rFonts w:ascii="Arial Narrow" w:hAnsi="Arial Narrow" w:cs="Arial"/>
                <w:sz w:val="18"/>
                <w:szCs w:val="18"/>
              </w:rPr>
            </w:pPr>
            <w:r w:rsidRPr="00393591">
              <w:rPr>
                <w:rFonts w:ascii="Arial Narrow" w:hAnsi="Arial Narrow" w:cs="Arial"/>
                <w:sz w:val="18"/>
                <w:szCs w:val="18"/>
              </w:rPr>
              <w:t>+4,7</w:t>
            </w:r>
          </w:p>
        </w:tc>
        <w:tc>
          <w:tcPr>
            <w:tcW w:w="1064" w:type="dxa"/>
            <w:gridSpan w:val="2"/>
            <w:shd w:val="clear" w:color="auto" w:fill="auto"/>
            <w:tcMar>
              <w:right w:w="68" w:type="dxa"/>
            </w:tcMar>
            <w:vAlign w:val="center"/>
          </w:tcPr>
          <w:p w:rsidR="00393591" w:rsidRPr="00393591" w:rsidRDefault="00393591" w:rsidP="00393591">
            <w:pPr>
              <w:spacing w:before="40" w:after="20"/>
              <w:ind w:left="-57"/>
              <w:jc w:val="right"/>
              <w:rPr>
                <w:rFonts w:ascii="Arial Narrow" w:hAnsi="Arial Narrow" w:cs="Arial"/>
                <w:sz w:val="18"/>
                <w:szCs w:val="18"/>
              </w:rPr>
            </w:pPr>
            <w:r w:rsidRPr="00393591">
              <w:rPr>
                <w:rFonts w:ascii="Arial Narrow" w:hAnsi="Arial Narrow" w:cs="Arial"/>
                <w:sz w:val="18"/>
                <w:szCs w:val="18"/>
              </w:rPr>
              <w:t>+2,9</w:t>
            </w:r>
          </w:p>
        </w:tc>
      </w:tr>
    </w:tbl>
    <w:p w:rsidR="002674D4" w:rsidRDefault="002674D4" w:rsidP="002674D4">
      <w:pPr>
        <w:spacing w:before="120" w:after="120"/>
        <w:jc w:val="both"/>
        <w:rPr>
          <w:rFonts w:ascii="Arial" w:hAnsi="Arial" w:cs="Arial"/>
          <w:color w:val="000000"/>
          <w:kern w:val="0"/>
          <w:sz w:val="21"/>
          <w:szCs w:val="21"/>
        </w:rPr>
      </w:pPr>
    </w:p>
    <w:p w:rsidR="00676743" w:rsidRPr="00E25060" w:rsidRDefault="00676743" w:rsidP="00BD0487">
      <w:pPr>
        <w:pStyle w:val="001TitoloBolocco"/>
        <w:spacing w:after="120" w:line="240" w:lineRule="auto"/>
        <w:rPr>
          <w:szCs w:val="26"/>
        </w:rPr>
      </w:pPr>
      <w:r w:rsidRPr="00E25060">
        <w:rPr>
          <w:szCs w:val="26"/>
        </w:rPr>
        <w:t>gli aggregati speciali</w:t>
      </w:r>
    </w:p>
    <w:p w:rsidR="005637A4" w:rsidRPr="00B9429C" w:rsidRDefault="005637A4" w:rsidP="005637A4">
      <w:pPr>
        <w:spacing w:before="0" w:after="120"/>
        <w:jc w:val="both"/>
        <w:rPr>
          <w:rFonts w:ascii="Arial" w:hAnsi="Arial" w:cs="Arial"/>
          <w:sz w:val="21"/>
          <w:szCs w:val="21"/>
        </w:rPr>
      </w:pPr>
      <w:r w:rsidRPr="00B9429C">
        <w:rPr>
          <w:rFonts w:ascii="Arial" w:hAnsi="Arial" w:cs="Arial"/>
          <w:sz w:val="21"/>
          <w:szCs w:val="21"/>
        </w:rPr>
        <w:t>Con riferimento agli aggregati speciali dell’IPCA, acc</w:t>
      </w:r>
      <w:r w:rsidR="00B9429C" w:rsidRPr="00B9429C">
        <w:rPr>
          <w:rFonts w:ascii="Arial" w:hAnsi="Arial" w:cs="Arial"/>
          <w:sz w:val="21"/>
          <w:szCs w:val="21"/>
        </w:rPr>
        <w:t>elerano i prezzi dei beni (da +5,6</w:t>
      </w:r>
      <w:r w:rsidRPr="00B9429C">
        <w:rPr>
          <w:rFonts w:ascii="Arial" w:hAnsi="Arial" w:cs="Arial"/>
          <w:sz w:val="21"/>
          <w:szCs w:val="21"/>
        </w:rPr>
        <w:t>% a +</w:t>
      </w:r>
      <w:r w:rsidR="00B9429C" w:rsidRPr="00B9429C">
        <w:rPr>
          <w:rFonts w:ascii="Arial" w:hAnsi="Arial" w:cs="Arial"/>
          <w:sz w:val="21"/>
          <w:szCs w:val="21"/>
        </w:rPr>
        <w:t>6,9</w:t>
      </w:r>
      <w:r w:rsidRPr="00B9429C">
        <w:rPr>
          <w:rFonts w:ascii="Arial" w:hAnsi="Arial" w:cs="Arial"/>
          <w:sz w:val="21"/>
          <w:szCs w:val="21"/>
        </w:rPr>
        <w:t xml:space="preserve">%; </w:t>
      </w:r>
      <w:r w:rsidR="00B9429C" w:rsidRPr="00B9429C">
        <w:rPr>
          <w:rFonts w:ascii="Arial" w:hAnsi="Arial" w:cs="Arial"/>
          <w:sz w:val="21"/>
          <w:szCs w:val="21"/>
        </w:rPr>
        <w:t>-0,3</w:t>
      </w:r>
      <w:r w:rsidRPr="00B9429C">
        <w:rPr>
          <w:rFonts w:ascii="Arial" w:hAnsi="Arial" w:cs="Arial"/>
          <w:sz w:val="21"/>
          <w:szCs w:val="21"/>
        </w:rPr>
        <w:t xml:space="preserve">% rispetto a </w:t>
      </w:r>
      <w:r w:rsidR="00B9429C" w:rsidRPr="00B9429C">
        <w:rPr>
          <w:rFonts w:ascii="Arial" w:hAnsi="Arial" w:cs="Arial"/>
          <w:sz w:val="21"/>
          <w:szCs w:val="21"/>
        </w:rPr>
        <w:t>dicembre</w:t>
      </w:r>
      <w:r w:rsidRPr="00B9429C">
        <w:rPr>
          <w:rFonts w:ascii="Arial" w:hAnsi="Arial" w:cs="Arial"/>
          <w:sz w:val="21"/>
          <w:szCs w:val="21"/>
        </w:rPr>
        <w:t>), a causa dei prezzi dell’Energia (da +</w:t>
      </w:r>
      <w:r w:rsidR="00B9429C">
        <w:rPr>
          <w:rFonts w:ascii="Arial" w:hAnsi="Arial" w:cs="Arial"/>
          <w:sz w:val="21"/>
          <w:szCs w:val="21"/>
        </w:rPr>
        <w:t>29,6</w:t>
      </w:r>
      <w:r w:rsidRPr="00B9429C">
        <w:rPr>
          <w:rFonts w:ascii="Arial" w:hAnsi="Arial" w:cs="Arial"/>
          <w:sz w:val="21"/>
          <w:szCs w:val="21"/>
        </w:rPr>
        <w:t>% a +</w:t>
      </w:r>
      <w:r w:rsidR="00B9429C">
        <w:rPr>
          <w:rFonts w:ascii="Arial" w:hAnsi="Arial" w:cs="Arial"/>
          <w:sz w:val="21"/>
          <w:szCs w:val="21"/>
        </w:rPr>
        <w:t>39,1</w:t>
      </w:r>
      <w:r w:rsidRPr="00B9429C">
        <w:rPr>
          <w:rFonts w:ascii="Arial" w:hAnsi="Arial" w:cs="Arial"/>
          <w:sz w:val="21"/>
          <w:szCs w:val="21"/>
        </w:rPr>
        <w:t>%, +</w:t>
      </w:r>
      <w:r w:rsidR="00B9429C">
        <w:rPr>
          <w:rFonts w:ascii="Arial" w:hAnsi="Arial" w:cs="Arial"/>
          <w:sz w:val="21"/>
          <w:szCs w:val="21"/>
        </w:rPr>
        <w:t>10,8</w:t>
      </w:r>
      <w:r w:rsidRPr="00B9429C">
        <w:rPr>
          <w:rFonts w:ascii="Arial" w:hAnsi="Arial" w:cs="Arial"/>
          <w:sz w:val="21"/>
          <w:szCs w:val="21"/>
        </w:rPr>
        <w:t>% su mese) e in particolare di quelli di Elettricità, gas e combustibili solidi (da +</w:t>
      </w:r>
      <w:r w:rsidR="00B9429C">
        <w:rPr>
          <w:rFonts w:ascii="Arial" w:hAnsi="Arial" w:cs="Arial"/>
          <w:sz w:val="21"/>
          <w:szCs w:val="21"/>
        </w:rPr>
        <w:t>34,8</w:t>
      </w:r>
      <w:r w:rsidRPr="00B9429C">
        <w:rPr>
          <w:rFonts w:ascii="Arial" w:hAnsi="Arial" w:cs="Arial"/>
          <w:sz w:val="21"/>
          <w:szCs w:val="21"/>
        </w:rPr>
        <w:t>% a +</w:t>
      </w:r>
      <w:r w:rsidR="00B9429C">
        <w:rPr>
          <w:rFonts w:ascii="Arial" w:hAnsi="Arial" w:cs="Arial"/>
          <w:sz w:val="21"/>
          <w:szCs w:val="21"/>
        </w:rPr>
        <w:t>57,6</w:t>
      </w:r>
      <w:r w:rsidRPr="00B9429C">
        <w:rPr>
          <w:rFonts w:ascii="Arial" w:hAnsi="Arial" w:cs="Arial"/>
          <w:sz w:val="21"/>
          <w:szCs w:val="21"/>
        </w:rPr>
        <w:t>%; +</w:t>
      </w:r>
      <w:r w:rsidR="00B9429C">
        <w:rPr>
          <w:rFonts w:ascii="Arial" w:hAnsi="Arial" w:cs="Arial"/>
          <w:sz w:val="21"/>
          <w:szCs w:val="21"/>
        </w:rPr>
        <w:t>20,9</w:t>
      </w:r>
      <w:r w:rsidRPr="00B9429C">
        <w:rPr>
          <w:rFonts w:ascii="Arial" w:hAnsi="Arial" w:cs="Arial"/>
          <w:sz w:val="21"/>
          <w:szCs w:val="21"/>
        </w:rPr>
        <w:t>% la variazione congiunturale)</w:t>
      </w:r>
      <w:r w:rsidR="00B9429C">
        <w:rPr>
          <w:rFonts w:ascii="Arial" w:hAnsi="Arial" w:cs="Arial"/>
          <w:sz w:val="21"/>
          <w:szCs w:val="21"/>
        </w:rPr>
        <w:t>, mentre rallentano quelli d</w:t>
      </w:r>
      <w:r w:rsidRPr="00B9429C">
        <w:rPr>
          <w:rFonts w:ascii="Arial" w:hAnsi="Arial" w:cs="Arial"/>
          <w:sz w:val="21"/>
          <w:szCs w:val="21"/>
        </w:rPr>
        <w:t>ei Combustibili liquidi, car</w:t>
      </w:r>
      <w:r w:rsidR="00B9429C">
        <w:rPr>
          <w:rFonts w:ascii="Arial" w:hAnsi="Arial" w:cs="Arial"/>
          <w:sz w:val="21"/>
          <w:szCs w:val="21"/>
        </w:rPr>
        <w:t>buranti e lubrificanti (da +23,2</w:t>
      </w:r>
      <w:r w:rsidRPr="00B9429C">
        <w:rPr>
          <w:rFonts w:ascii="Arial" w:hAnsi="Arial" w:cs="Arial"/>
          <w:sz w:val="21"/>
          <w:szCs w:val="21"/>
        </w:rPr>
        <w:t>% a +</w:t>
      </w:r>
      <w:r w:rsidR="00B9429C">
        <w:rPr>
          <w:rFonts w:ascii="Arial" w:hAnsi="Arial" w:cs="Arial"/>
          <w:sz w:val="21"/>
          <w:szCs w:val="21"/>
        </w:rPr>
        <w:t>20,4</w:t>
      </w:r>
      <w:r w:rsidRPr="00B9429C">
        <w:rPr>
          <w:rFonts w:ascii="Arial" w:hAnsi="Arial" w:cs="Arial"/>
          <w:sz w:val="21"/>
          <w:szCs w:val="21"/>
        </w:rPr>
        <w:t>%; +</w:t>
      </w:r>
      <w:r w:rsidR="00B9429C">
        <w:rPr>
          <w:rFonts w:ascii="Arial" w:hAnsi="Arial" w:cs="Arial"/>
          <w:sz w:val="21"/>
          <w:szCs w:val="21"/>
        </w:rPr>
        <w:t>0,6</w:t>
      </w:r>
      <w:r w:rsidRPr="00B9429C">
        <w:rPr>
          <w:rFonts w:ascii="Arial" w:hAnsi="Arial" w:cs="Arial"/>
          <w:sz w:val="21"/>
          <w:szCs w:val="21"/>
        </w:rPr>
        <w:t>% rispetto al mese precedente)</w:t>
      </w:r>
      <w:r w:rsidR="00B9429C">
        <w:rPr>
          <w:rFonts w:ascii="Arial" w:hAnsi="Arial" w:cs="Arial"/>
          <w:sz w:val="21"/>
          <w:szCs w:val="21"/>
        </w:rPr>
        <w:t xml:space="preserve"> e </w:t>
      </w:r>
      <w:r w:rsidRPr="00B9429C">
        <w:rPr>
          <w:rFonts w:ascii="Arial" w:hAnsi="Arial" w:cs="Arial"/>
          <w:sz w:val="21"/>
          <w:szCs w:val="21"/>
        </w:rPr>
        <w:t>i</w:t>
      </w:r>
      <w:r w:rsidR="00B9429C">
        <w:rPr>
          <w:rFonts w:ascii="Arial" w:hAnsi="Arial" w:cs="Arial"/>
          <w:sz w:val="21"/>
          <w:szCs w:val="21"/>
        </w:rPr>
        <w:t>nvertono la tendenza i</w:t>
      </w:r>
      <w:r w:rsidRPr="00B9429C">
        <w:rPr>
          <w:rFonts w:ascii="Arial" w:hAnsi="Arial" w:cs="Arial"/>
          <w:sz w:val="21"/>
          <w:szCs w:val="21"/>
        </w:rPr>
        <w:t xml:space="preserve"> prezzi dei Beni </w:t>
      </w:r>
      <w:r w:rsidR="00B9429C">
        <w:rPr>
          <w:rFonts w:ascii="Arial" w:hAnsi="Arial" w:cs="Arial"/>
          <w:sz w:val="21"/>
          <w:szCs w:val="21"/>
        </w:rPr>
        <w:t>semidurevoli (da +1,1% a -1</w:t>
      </w:r>
      <w:r w:rsidRPr="00B9429C">
        <w:rPr>
          <w:rFonts w:ascii="Arial" w:hAnsi="Arial" w:cs="Arial"/>
          <w:sz w:val="21"/>
          <w:szCs w:val="21"/>
        </w:rPr>
        <w:t>,4%; -</w:t>
      </w:r>
      <w:r w:rsidR="00B9429C">
        <w:rPr>
          <w:rFonts w:ascii="Arial" w:hAnsi="Arial" w:cs="Arial"/>
          <w:sz w:val="21"/>
          <w:szCs w:val="21"/>
        </w:rPr>
        <w:t>14,9</w:t>
      </w:r>
      <w:r w:rsidRPr="00B9429C">
        <w:rPr>
          <w:rFonts w:ascii="Arial" w:hAnsi="Arial" w:cs="Arial"/>
          <w:sz w:val="21"/>
          <w:szCs w:val="21"/>
        </w:rPr>
        <w:t>% su base mensile</w:t>
      </w:r>
      <w:r w:rsidR="00B9429C">
        <w:rPr>
          <w:rFonts w:ascii="Arial" w:hAnsi="Arial" w:cs="Arial"/>
          <w:sz w:val="21"/>
          <w:szCs w:val="21"/>
        </w:rPr>
        <w:t xml:space="preserve"> a causa dei saldi di Abbigliamento e calzature)</w:t>
      </w:r>
      <w:r w:rsidRPr="00B9429C">
        <w:rPr>
          <w:rFonts w:ascii="Arial" w:hAnsi="Arial" w:cs="Arial"/>
          <w:sz w:val="21"/>
          <w:szCs w:val="21"/>
        </w:rPr>
        <w:t xml:space="preserve">. </w:t>
      </w:r>
    </w:p>
    <w:p w:rsidR="002C59AC" w:rsidRDefault="002C59AC" w:rsidP="002C59AC">
      <w:pPr>
        <w:spacing w:before="0" w:after="120"/>
        <w:jc w:val="both"/>
        <w:rPr>
          <w:rFonts w:ascii="Arial" w:hAnsi="Arial" w:cs="Arial"/>
          <w:sz w:val="21"/>
          <w:szCs w:val="21"/>
        </w:rPr>
      </w:pPr>
      <w:r>
        <w:rPr>
          <w:rFonts w:ascii="Arial" w:hAnsi="Arial" w:cs="Arial"/>
          <w:sz w:val="21"/>
          <w:szCs w:val="21"/>
        </w:rPr>
        <w:t>La lieve accelerazione</w:t>
      </w:r>
      <w:r w:rsidRPr="00B9429C">
        <w:rPr>
          <w:rFonts w:ascii="Arial" w:hAnsi="Arial" w:cs="Arial"/>
          <w:sz w:val="21"/>
          <w:szCs w:val="21"/>
        </w:rPr>
        <w:t xml:space="preserve"> dei prezzi </w:t>
      </w:r>
      <w:r>
        <w:rPr>
          <w:rFonts w:ascii="Arial" w:hAnsi="Arial" w:cs="Arial"/>
          <w:sz w:val="21"/>
          <w:szCs w:val="21"/>
        </w:rPr>
        <w:t>dei servizi (cha passano da +1,8</w:t>
      </w:r>
      <w:r w:rsidRPr="00B9429C">
        <w:rPr>
          <w:rFonts w:ascii="Arial" w:hAnsi="Arial" w:cs="Arial"/>
          <w:sz w:val="21"/>
          <w:szCs w:val="21"/>
        </w:rPr>
        <w:t>% a +</w:t>
      </w:r>
      <w:r>
        <w:rPr>
          <w:rFonts w:ascii="Arial" w:hAnsi="Arial" w:cs="Arial"/>
          <w:sz w:val="21"/>
          <w:szCs w:val="21"/>
        </w:rPr>
        <w:t>2,0</w:t>
      </w:r>
      <w:r w:rsidRPr="00B9429C">
        <w:rPr>
          <w:rFonts w:ascii="Arial" w:hAnsi="Arial" w:cs="Arial"/>
          <w:sz w:val="21"/>
          <w:szCs w:val="21"/>
        </w:rPr>
        <w:t>%</w:t>
      </w:r>
      <w:r>
        <w:rPr>
          <w:rFonts w:ascii="Arial" w:hAnsi="Arial" w:cs="Arial"/>
          <w:sz w:val="21"/>
          <w:szCs w:val="21"/>
        </w:rPr>
        <w:t>; +0,3% rispetto a dicembre</w:t>
      </w:r>
      <w:r w:rsidRPr="00B9429C">
        <w:rPr>
          <w:rFonts w:ascii="Arial" w:hAnsi="Arial" w:cs="Arial"/>
          <w:sz w:val="21"/>
          <w:szCs w:val="21"/>
        </w:rPr>
        <w:t xml:space="preserve">) è dovuta essenzialmente </w:t>
      </w:r>
      <w:r>
        <w:rPr>
          <w:rFonts w:ascii="Arial" w:hAnsi="Arial" w:cs="Arial"/>
          <w:sz w:val="21"/>
          <w:szCs w:val="21"/>
        </w:rPr>
        <w:t>a</w:t>
      </w:r>
      <w:r w:rsidRPr="00B9429C">
        <w:rPr>
          <w:rFonts w:ascii="Arial" w:hAnsi="Arial" w:cs="Arial"/>
          <w:color w:val="000000"/>
          <w:kern w:val="0"/>
          <w:sz w:val="21"/>
          <w:szCs w:val="21"/>
        </w:rPr>
        <w:t xml:space="preserve"> quelli dei Servizi ricreativi, culturali e per la cura della persona</w:t>
      </w:r>
      <w:r>
        <w:rPr>
          <w:rFonts w:ascii="Arial" w:hAnsi="Arial" w:cs="Arial"/>
          <w:color w:val="000000"/>
          <w:kern w:val="0"/>
          <w:sz w:val="21"/>
          <w:szCs w:val="21"/>
        </w:rPr>
        <w:t xml:space="preserve"> (da +2,6% a +4,1%; </w:t>
      </w:r>
      <w:r>
        <w:rPr>
          <w:rFonts w:ascii="Arial" w:hAnsi="Arial" w:cs="Arial"/>
          <w:color w:val="000000"/>
          <w:kern w:val="0"/>
          <w:sz w:val="21"/>
          <w:szCs w:val="21"/>
        </w:rPr>
        <w:lastRenderedPageBreak/>
        <w:t xml:space="preserve">+1,3% il congiunturale), mentre i prezzi dei </w:t>
      </w:r>
      <w:r w:rsidRPr="00B9429C">
        <w:rPr>
          <w:rFonts w:ascii="Arial" w:hAnsi="Arial" w:cs="Arial"/>
          <w:color w:val="000000"/>
          <w:kern w:val="0"/>
          <w:sz w:val="21"/>
          <w:szCs w:val="21"/>
        </w:rPr>
        <w:t>Servizi relativi ai trasporti</w:t>
      </w:r>
      <w:r>
        <w:rPr>
          <w:rFonts w:ascii="Arial" w:hAnsi="Arial" w:cs="Arial"/>
          <w:color w:val="000000"/>
          <w:kern w:val="0"/>
          <w:sz w:val="21"/>
          <w:szCs w:val="21"/>
        </w:rPr>
        <w:t xml:space="preserve"> rallentano</w:t>
      </w:r>
      <w:r w:rsidRPr="00B9429C">
        <w:rPr>
          <w:rFonts w:ascii="Arial" w:hAnsi="Arial" w:cs="Arial"/>
          <w:color w:val="000000"/>
          <w:kern w:val="0"/>
          <w:sz w:val="21"/>
          <w:szCs w:val="21"/>
        </w:rPr>
        <w:t xml:space="preserve"> (da +</w:t>
      </w:r>
      <w:r>
        <w:rPr>
          <w:rFonts w:ascii="Arial" w:hAnsi="Arial" w:cs="Arial"/>
          <w:color w:val="000000"/>
          <w:kern w:val="0"/>
          <w:sz w:val="21"/>
          <w:szCs w:val="21"/>
        </w:rPr>
        <w:t>3,7</w:t>
      </w:r>
      <w:r w:rsidRPr="00B9429C">
        <w:rPr>
          <w:rFonts w:ascii="Arial" w:hAnsi="Arial" w:cs="Arial"/>
          <w:color w:val="000000"/>
          <w:kern w:val="0"/>
          <w:sz w:val="21"/>
          <w:szCs w:val="21"/>
        </w:rPr>
        <w:t>% a +</w:t>
      </w:r>
      <w:r>
        <w:rPr>
          <w:rFonts w:ascii="Arial" w:hAnsi="Arial" w:cs="Arial"/>
          <w:color w:val="000000"/>
          <w:kern w:val="0"/>
          <w:sz w:val="21"/>
          <w:szCs w:val="21"/>
        </w:rPr>
        <w:t>1,4</w:t>
      </w:r>
      <w:r w:rsidRPr="00B9429C">
        <w:rPr>
          <w:rFonts w:ascii="Arial" w:hAnsi="Arial" w:cs="Arial"/>
          <w:color w:val="000000"/>
          <w:kern w:val="0"/>
          <w:sz w:val="21"/>
          <w:szCs w:val="21"/>
        </w:rPr>
        <w:t xml:space="preserve">%; </w:t>
      </w:r>
      <w:r>
        <w:rPr>
          <w:rFonts w:ascii="Arial" w:hAnsi="Arial" w:cs="Arial"/>
          <w:color w:val="000000"/>
          <w:kern w:val="0"/>
          <w:sz w:val="21"/>
          <w:szCs w:val="21"/>
        </w:rPr>
        <w:t>-1,6</w:t>
      </w:r>
      <w:r w:rsidRPr="00B9429C">
        <w:rPr>
          <w:rFonts w:ascii="Arial" w:hAnsi="Arial" w:cs="Arial"/>
          <w:color w:val="000000"/>
          <w:kern w:val="0"/>
          <w:sz w:val="21"/>
          <w:szCs w:val="21"/>
        </w:rPr>
        <w:t>% su</w:t>
      </w:r>
      <w:r>
        <w:rPr>
          <w:rFonts w:ascii="Arial" w:hAnsi="Arial" w:cs="Arial"/>
          <w:color w:val="000000"/>
          <w:kern w:val="0"/>
          <w:sz w:val="21"/>
          <w:szCs w:val="21"/>
        </w:rPr>
        <w:t>l mese</w:t>
      </w:r>
      <w:r w:rsidRPr="00B9429C">
        <w:rPr>
          <w:rFonts w:ascii="Arial" w:hAnsi="Arial" w:cs="Arial"/>
          <w:color w:val="000000"/>
          <w:kern w:val="0"/>
          <w:sz w:val="21"/>
          <w:szCs w:val="21"/>
        </w:rPr>
        <w:t>).</w:t>
      </w:r>
    </w:p>
    <w:p w:rsidR="005637A4" w:rsidRDefault="00B9429C" w:rsidP="005637A4">
      <w:pPr>
        <w:widowControl/>
        <w:overflowPunct/>
        <w:autoSpaceDE/>
        <w:autoSpaceDN/>
        <w:adjustRightInd/>
        <w:spacing w:before="0" w:after="120"/>
        <w:jc w:val="both"/>
        <w:rPr>
          <w:rFonts w:ascii="Arial" w:hAnsi="Arial" w:cs="Arial"/>
          <w:iCs/>
          <w:sz w:val="21"/>
          <w:szCs w:val="21"/>
        </w:rPr>
      </w:pPr>
      <w:r>
        <w:rPr>
          <w:rFonts w:ascii="Arial" w:hAnsi="Arial" w:cs="Arial"/>
          <w:iCs/>
          <w:sz w:val="21"/>
          <w:szCs w:val="21"/>
        </w:rPr>
        <w:t>L</w:t>
      </w:r>
      <w:r w:rsidR="005637A4">
        <w:rPr>
          <w:rFonts w:ascii="Arial" w:hAnsi="Arial" w:cs="Arial"/>
          <w:iCs/>
          <w:sz w:val="21"/>
          <w:szCs w:val="21"/>
        </w:rPr>
        <w:t>’inflazione della componente di fondo</w:t>
      </w:r>
      <w:r w:rsidR="005637A4" w:rsidRPr="00E25060">
        <w:rPr>
          <w:rFonts w:ascii="Arial" w:hAnsi="Arial" w:cs="Arial"/>
          <w:iCs/>
          <w:sz w:val="21"/>
          <w:szCs w:val="21"/>
        </w:rPr>
        <w:t xml:space="preserve"> calcolata al netto </w:t>
      </w:r>
      <w:r w:rsidR="005637A4">
        <w:rPr>
          <w:rFonts w:ascii="Arial" w:hAnsi="Arial" w:cs="Arial"/>
          <w:iCs/>
          <w:sz w:val="21"/>
          <w:szCs w:val="21"/>
        </w:rPr>
        <w:t>di energia e alimentari freschi</w:t>
      </w:r>
      <w:r>
        <w:rPr>
          <w:rFonts w:ascii="Arial" w:hAnsi="Arial" w:cs="Arial"/>
          <w:iCs/>
          <w:sz w:val="21"/>
          <w:szCs w:val="21"/>
        </w:rPr>
        <w:t xml:space="preserve"> è stabile a +1,5%</w:t>
      </w:r>
      <w:r w:rsidR="0065571D">
        <w:rPr>
          <w:rFonts w:ascii="Arial" w:hAnsi="Arial" w:cs="Arial"/>
          <w:iCs/>
          <w:sz w:val="21"/>
          <w:szCs w:val="21"/>
        </w:rPr>
        <w:t>;</w:t>
      </w:r>
      <w:r w:rsidR="005637A4">
        <w:rPr>
          <w:rFonts w:ascii="Arial" w:hAnsi="Arial" w:cs="Arial"/>
          <w:iCs/>
          <w:sz w:val="21"/>
          <w:szCs w:val="21"/>
        </w:rPr>
        <w:t xml:space="preserve"> </w:t>
      </w:r>
      <w:r>
        <w:rPr>
          <w:rFonts w:ascii="Arial" w:hAnsi="Arial" w:cs="Arial"/>
          <w:iCs/>
          <w:sz w:val="21"/>
          <w:szCs w:val="21"/>
        </w:rPr>
        <w:t xml:space="preserve">rallentano invece </w:t>
      </w:r>
      <w:r w:rsidR="005637A4">
        <w:rPr>
          <w:rFonts w:ascii="Arial" w:hAnsi="Arial" w:cs="Arial"/>
          <w:iCs/>
          <w:sz w:val="21"/>
          <w:szCs w:val="21"/>
        </w:rPr>
        <w:t>quella</w:t>
      </w:r>
      <w:r w:rsidR="005637A4" w:rsidRPr="00A15DBF">
        <w:rPr>
          <w:rFonts w:ascii="Arial" w:hAnsi="Arial" w:cs="Arial"/>
          <w:iCs/>
          <w:sz w:val="21"/>
          <w:szCs w:val="21"/>
        </w:rPr>
        <w:t xml:space="preserve"> </w:t>
      </w:r>
      <w:r w:rsidR="005637A4" w:rsidRPr="00DF5BF6">
        <w:rPr>
          <w:rFonts w:ascii="Arial" w:hAnsi="Arial" w:cs="Arial"/>
          <w:iCs/>
          <w:sz w:val="21"/>
          <w:szCs w:val="21"/>
        </w:rPr>
        <w:t>al netto dell’energia,</w:t>
      </w:r>
      <w:r w:rsidR="005637A4" w:rsidRPr="00E33F44">
        <w:rPr>
          <w:rFonts w:ascii="Arial" w:hAnsi="Arial" w:cs="Arial"/>
          <w:iCs/>
          <w:sz w:val="21"/>
          <w:szCs w:val="21"/>
        </w:rPr>
        <w:t xml:space="preserve"> </w:t>
      </w:r>
      <w:r w:rsidR="005637A4" w:rsidRPr="00DF5BF6">
        <w:rPr>
          <w:rFonts w:ascii="Arial" w:hAnsi="Arial" w:cs="Arial"/>
          <w:iCs/>
          <w:sz w:val="21"/>
          <w:szCs w:val="21"/>
        </w:rPr>
        <w:t>degli alimentari (incluse bevande alcoliche) e tabacchi</w:t>
      </w:r>
      <w:r>
        <w:rPr>
          <w:rFonts w:ascii="Arial" w:hAnsi="Arial" w:cs="Arial"/>
          <w:iCs/>
          <w:sz w:val="21"/>
          <w:szCs w:val="21"/>
        </w:rPr>
        <w:t xml:space="preserve"> (da +1,5% a +1,3%) e </w:t>
      </w:r>
      <w:r w:rsidR="005637A4">
        <w:rPr>
          <w:rFonts w:ascii="Arial" w:hAnsi="Arial" w:cs="Arial"/>
          <w:iCs/>
          <w:sz w:val="21"/>
          <w:szCs w:val="21"/>
        </w:rPr>
        <w:t xml:space="preserve">quella </w:t>
      </w:r>
      <w:r w:rsidR="005637A4" w:rsidRPr="00A15DBF">
        <w:rPr>
          <w:rFonts w:ascii="Arial" w:hAnsi="Arial" w:cs="Arial"/>
          <w:iCs/>
          <w:sz w:val="21"/>
          <w:szCs w:val="21"/>
        </w:rPr>
        <w:t>al netto dei so</w:t>
      </w:r>
      <w:r w:rsidR="005637A4">
        <w:rPr>
          <w:rFonts w:ascii="Arial" w:hAnsi="Arial" w:cs="Arial"/>
          <w:iCs/>
          <w:sz w:val="21"/>
          <w:szCs w:val="21"/>
        </w:rPr>
        <w:t xml:space="preserve">li beni energetici </w:t>
      </w:r>
      <w:r>
        <w:rPr>
          <w:rFonts w:ascii="Arial" w:hAnsi="Arial" w:cs="Arial"/>
          <w:iCs/>
          <w:sz w:val="21"/>
          <w:szCs w:val="21"/>
        </w:rPr>
        <w:t>(da +1,8</w:t>
      </w:r>
      <w:r w:rsidR="005637A4">
        <w:rPr>
          <w:rFonts w:ascii="Arial" w:hAnsi="Arial" w:cs="Arial"/>
          <w:iCs/>
          <w:sz w:val="21"/>
          <w:szCs w:val="21"/>
        </w:rPr>
        <w:t xml:space="preserve">% </w:t>
      </w:r>
      <w:r>
        <w:rPr>
          <w:rFonts w:ascii="Arial" w:hAnsi="Arial" w:cs="Arial"/>
          <w:iCs/>
          <w:sz w:val="21"/>
          <w:szCs w:val="21"/>
        </w:rPr>
        <w:t>a +1,7</w:t>
      </w:r>
      <w:r w:rsidR="005637A4">
        <w:rPr>
          <w:rFonts w:ascii="Arial" w:hAnsi="Arial" w:cs="Arial"/>
          <w:iCs/>
          <w:sz w:val="21"/>
          <w:szCs w:val="21"/>
        </w:rPr>
        <w:t>%</w:t>
      </w:r>
      <w:r>
        <w:rPr>
          <w:rFonts w:ascii="Arial" w:hAnsi="Arial" w:cs="Arial"/>
          <w:iCs/>
          <w:sz w:val="21"/>
          <w:szCs w:val="21"/>
        </w:rPr>
        <w:t>)</w:t>
      </w:r>
      <w:r w:rsidR="005637A4">
        <w:rPr>
          <w:rFonts w:ascii="Arial" w:hAnsi="Arial" w:cs="Arial"/>
          <w:iCs/>
          <w:sz w:val="21"/>
          <w:szCs w:val="21"/>
        </w:rPr>
        <w:t>.</w:t>
      </w:r>
    </w:p>
    <w:p w:rsidR="00B546B5" w:rsidRDefault="00B546B5" w:rsidP="00931034">
      <w:pPr>
        <w:widowControl/>
        <w:overflowPunct/>
        <w:autoSpaceDE/>
        <w:autoSpaceDN/>
        <w:adjustRightInd/>
        <w:spacing w:before="0" w:after="120"/>
        <w:jc w:val="both"/>
        <w:rPr>
          <w:rFonts w:ascii="Arial" w:hAnsi="Arial" w:cs="Arial"/>
          <w:iCs/>
          <w:sz w:val="21"/>
          <w:szCs w:val="21"/>
        </w:rPr>
      </w:pPr>
    </w:p>
    <w:p w:rsidR="00C24A59" w:rsidRPr="00C8504B" w:rsidRDefault="00C24A59" w:rsidP="00606B17">
      <w:pPr>
        <w:spacing w:before="0" w:after="60" w:line="216" w:lineRule="auto"/>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AGGREGATI SPECIALI</w:t>
      </w:r>
      <w:r w:rsidR="008A791D">
        <w:rPr>
          <w:rFonts w:ascii="Arial Narrow" w:hAnsi="Arial Narrow" w:cs="Calibri"/>
          <w:b/>
          <w:bCs/>
          <w:color w:val="5F5F5F"/>
          <w:kern w:val="0"/>
          <w:sz w:val="22"/>
          <w:szCs w:val="22"/>
          <w:vertAlign w:val="superscript"/>
        </w:rPr>
        <w:t>(*)</w:t>
      </w:r>
      <w:r w:rsidRPr="00C8504B">
        <w:rPr>
          <w:rFonts w:ascii="Arial Narrow" w:hAnsi="Arial Narrow" w:cs="Arial"/>
          <w:b/>
          <w:color w:val="5F5F5F"/>
        </w:rPr>
        <w:br/>
      </w:r>
      <w:r w:rsidR="005B7BD6" w:rsidRPr="005B7BD6">
        <w:rPr>
          <w:rFonts w:ascii="Arial Narrow" w:hAnsi="Arial Narrow" w:cs="Arial"/>
          <w:color w:val="5F5F5F"/>
        </w:rPr>
        <w:t>Gennaio 2022</w:t>
      </w:r>
      <w:r w:rsidRPr="00C8504B">
        <w:rPr>
          <w:rFonts w:ascii="Arial Narrow" w:hAnsi="Arial Narrow" w:cs="Arial"/>
          <w:color w:val="5F5F5F"/>
        </w:rPr>
        <w:t xml:space="preserve">, pesi e variazioni percentuali </w:t>
      </w:r>
      <w:r w:rsidR="00312166"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(base 2015=100)</w:t>
      </w:r>
    </w:p>
    <w:tbl>
      <w:tblPr>
        <w:tblW w:w="10206" w:type="dxa"/>
        <w:jc w:val="center"/>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253"/>
        <w:gridCol w:w="1027"/>
        <w:gridCol w:w="974"/>
        <w:gridCol w:w="976"/>
        <w:gridCol w:w="1113"/>
        <w:gridCol w:w="793"/>
        <w:gridCol w:w="1070"/>
      </w:tblGrid>
      <w:tr w:rsidR="00FD0188" w:rsidRPr="00C8504B" w:rsidTr="009A110B">
        <w:trPr>
          <w:trHeight w:val="200"/>
          <w:jc w:val="center"/>
        </w:trPr>
        <w:tc>
          <w:tcPr>
            <w:tcW w:w="4253" w:type="dxa"/>
            <w:vMerge w:val="restart"/>
            <w:vAlign w:val="center"/>
          </w:tcPr>
          <w:p w:rsidR="00FD0188" w:rsidRPr="00C8504B" w:rsidRDefault="00FD0188" w:rsidP="00FD0188">
            <w:pPr>
              <w:spacing w:before="40" w:after="20"/>
              <w:ind w:left="-68"/>
              <w:rPr>
                <w:rFonts w:ascii="Arial Narrow" w:hAnsi="Arial Narrow" w:cs="Arial"/>
                <w:b/>
                <w:bCs/>
                <w:sz w:val="18"/>
                <w:szCs w:val="18"/>
              </w:rPr>
            </w:pPr>
            <w:r w:rsidRPr="00C8504B">
              <w:rPr>
                <w:rFonts w:ascii="Arial Narrow" w:hAnsi="Arial Narrow" w:cs="Arial"/>
                <w:b/>
                <w:bCs/>
                <w:sz w:val="18"/>
                <w:szCs w:val="18"/>
              </w:rPr>
              <w:t>AGGREGATI SPECIALI</w:t>
            </w:r>
          </w:p>
        </w:tc>
        <w:tc>
          <w:tcPr>
            <w:tcW w:w="1027" w:type="dxa"/>
            <w:vMerge w:val="restart"/>
            <w:shd w:val="clear" w:color="auto" w:fill="D9D9D9" w:themeFill="background1" w:themeFillShade="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50" w:type="dxa"/>
            <w:gridSpan w:val="2"/>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06" w:type="dxa"/>
            <w:gridSpan w:val="2"/>
            <w:shd w:val="clear" w:color="auto" w:fill="D9D9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70" w:type="dxa"/>
            <w:vMerge w:val="restart"/>
            <w:shd w:val="clear" w:color="auto" w:fill="auto"/>
            <w:vAlign w:val="center"/>
          </w:tcPr>
          <w:p w:rsidR="00FD0188" w:rsidRPr="00C8504B" w:rsidRDefault="000830DA" w:rsidP="00873EA2">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w:t>
            </w:r>
            <w:r w:rsidR="00873EA2">
              <w:rPr>
                <w:rFonts w:ascii="Arial Narrow" w:hAnsi="Arial Narrow" w:cs="Arial"/>
                <w:b/>
                <w:bCs/>
                <w:kern w:val="0"/>
                <w:sz w:val="18"/>
                <w:szCs w:val="18"/>
              </w:rPr>
              <w:t xml:space="preserve">      a gennaio</w:t>
            </w:r>
          </w:p>
        </w:tc>
      </w:tr>
      <w:tr w:rsidR="00EA385D" w:rsidRPr="00C8504B" w:rsidTr="00193989">
        <w:trPr>
          <w:trHeight w:val="346"/>
          <w:jc w:val="center"/>
        </w:trPr>
        <w:tc>
          <w:tcPr>
            <w:tcW w:w="4253" w:type="dxa"/>
            <w:vMerge/>
            <w:vAlign w:val="center"/>
          </w:tcPr>
          <w:p w:rsidR="00EA385D" w:rsidRPr="00C8504B" w:rsidRDefault="00EA385D" w:rsidP="00EA385D">
            <w:pPr>
              <w:spacing w:before="40" w:after="20"/>
              <w:ind w:left="-68"/>
              <w:rPr>
                <w:rFonts w:ascii="Arial Narrow" w:hAnsi="Arial Narrow" w:cs="Arial"/>
                <w:b/>
                <w:bCs/>
                <w:sz w:val="18"/>
                <w:szCs w:val="18"/>
              </w:rPr>
            </w:pPr>
          </w:p>
        </w:tc>
        <w:tc>
          <w:tcPr>
            <w:tcW w:w="1027" w:type="dxa"/>
            <w:vMerge/>
            <w:shd w:val="clear" w:color="auto" w:fill="D9D9D9" w:themeFill="background1" w:themeFillShade="D9"/>
            <w:vAlign w:val="center"/>
          </w:tcPr>
          <w:p w:rsidR="00EA385D" w:rsidRPr="00C8504B" w:rsidRDefault="00EA385D" w:rsidP="00EA385D">
            <w:pPr>
              <w:spacing w:before="40" w:after="20"/>
              <w:jc w:val="center"/>
              <w:rPr>
                <w:rFonts w:ascii="Arial Narrow" w:hAnsi="Arial Narrow" w:cs="Arial"/>
                <w:b/>
                <w:bCs/>
                <w:sz w:val="18"/>
                <w:szCs w:val="18"/>
              </w:rPr>
            </w:pPr>
          </w:p>
        </w:tc>
        <w:tc>
          <w:tcPr>
            <w:tcW w:w="974"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E03E58" w:rsidRDefault="00EA385D" w:rsidP="00EA385D">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dic-21</w:t>
            </w:r>
          </w:p>
        </w:tc>
        <w:tc>
          <w:tcPr>
            <w:tcW w:w="976"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113"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gen-21</w:t>
            </w:r>
          </w:p>
        </w:tc>
        <w:tc>
          <w:tcPr>
            <w:tcW w:w="793" w:type="dxa"/>
            <w:vAlign w:val="center"/>
          </w:tcPr>
          <w:p w:rsidR="00EA385D"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dic-21</w:t>
            </w:r>
          </w:p>
          <w:p w:rsidR="00EA385D" w:rsidRPr="008814F3" w:rsidRDefault="00EA385D" w:rsidP="00EA385D">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dic-20</w:t>
            </w:r>
          </w:p>
        </w:tc>
        <w:tc>
          <w:tcPr>
            <w:tcW w:w="1070" w:type="dxa"/>
            <w:vMerge/>
            <w:shd w:val="clear" w:color="auto" w:fill="auto"/>
            <w:vAlign w:val="center"/>
          </w:tcPr>
          <w:p w:rsidR="00EA385D" w:rsidRPr="00502CE8" w:rsidRDefault="00EA385D" w:rsidP="00EA385D">
            <w:pPr>
              <w:spacing w:before="40" w:after="20"/>
              <w:contextualSpacing/>
              <w:jc w:val="center"/>
              <w:rPr>
                <w:rFonts w:ascii="Arial Narrow" w:hAnsi="Arial Narrow" w:cs="Arial"/>
                <w:b/>
                <w:bCs/>
                <w:sz w:val="18"/>
                <w:szCs w:val="18"/>
              </w:rPr>
            </w:pP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sz w:val="18"/>
                <w:szCs w:val="18"/>
              </w:rPr>
            </w:pPr>
            <w:r w:rsidRPr="00C8504B">
              <w:rPr>
                <w:rFonts w:ascii="Arial Narrow" w:hAnsi="Arial Narrow" w:cs="Arial"/>
                <w:sz w:val="18"/>
                <w:szCs w:val="18"/>
              </w:rPr>
              <w:t>Beni alimentari (incluse bevande alcoliche) e tabacchi, di cui:</w:t>
            </w:r>
          </w:p>
        </w:tc>
        <w:tc>
          <w:tcPr>
            <w:tcW w:w="1027" w:type="dxa"/>
            <w:shd w:val="clear" w:color="auto" w:fill="D9D9D9" w:themeFill="background1" w:themeFillShade="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230.610</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+0,8</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+3,2</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+2,5</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+2,8</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Alimentari lavorati (incluse bevande alcoliche) e tabacchi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159.028</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+1,0</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+0,9</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+1,9</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+1,7</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+1,6</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Alimentari non lavorati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71.582</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+2,4</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+0,4</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+6,1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+4,0</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+5,4</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sz w:val="18"/>
                <w:szCs w:val="18"/>
              </w:rPr>
            </w:pPr>
            <w:r w:rsidRPr="00C8504B">
              <w:rPr>
                <w:rFonts w:ascii="Arial Narrow" w:hAnsi="Arial Narrow" w:cs="Arial"/>
                <w:sz w:val="18"/>
                <w:szCs w:val="18"/>
              </w:rPr>
              <w:t>Energia, di cui: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97.164</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+10,8</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+3,2</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+39,1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+29,6</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+25,9</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Elettricità, gas e combustibili solidi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48.838</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+20,9</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+3,4</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+57,6</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+34,8</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+43,0</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Combustibili liquidi, carburanti e lubrificanti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48.326</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+0,6</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+2,9</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+20,4</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+23,2</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+8,6</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sz w:val="18"/>
                <w:szCs w:val="18"/>
              </w:rPr>
            </w:pPr>
            <w:r w:rsidRPr="00C8504B">
              <w:rPr>
                <w:rFonts w:ascii="Arial Narrow" w:hAnsi="Arial Narrow" w:cs="Arial"/>
                <w:sz w:val="18"/>
                <w:szCs w:val="18"/>
              </w:rPr>
              <w:t>Beni industriali non energetici, di cui: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284.285</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-5,5</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-4,8</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+0,3</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-2,9</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Beni durevoli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110.163</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+0,6</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+0,8</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+0,7</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+0,9</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+1,0</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Beni non durevoli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64.441</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+0,2</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+0,3</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+1,2</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+0,9</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247"/>
              <w:rPr>
                <w:rFonts w:ascii="Arial Narrow" w:hAnsi="Arial Narrow" w:cs="Arial"/>
                <w:sz w:val="18"/>
                <w:szCs w:val="18"/>
              </w:rPr>
            </w:pPr>
            <w:r w:rsidRPr="00C8504B">
              <w:rPr>
                <w:rFonts w:ascii="Arial Narrow" w:hAnsi="Arial Narrow" w:cs="Arial"/>
                <w:sz w:val="18"/>
                <w:szCs w:val="18"/>
              </w:rPr>
              <w:t>Beni semidurevoli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109.681</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-14,9</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-12,8</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-1,4</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-9,7</w:t>
            </w:r>
          </w:p>
        </w:tc>
      </w:tr>
      <w:tr w:rsidR="00EF1C6D" w:rsidRPr="00502CE8" w:rsidTr="00EF1C6D">
        <w:trPr>
          <w:trHeight w:val="255"/>
          <w:jc w:val="center"/>
        </w:trPr>
        <w:tc>
          <w:tcPr>
            <w:tcW w:w="4253" w:type="dxa"/>
            <w:shd w:val="clear" w:color="auto" w:fill="808080"/>
            <w:vAlign w:val="center"/>
          </w:tcPr>
          <w:p w:rsidR="00EF1C6D" w:rsidRPr="00C8504B" w:rsidRDefault="00EF1C6D" w:rsidP="00EF1C6D">
            <w:pPr>
              <w:spacing w:before="40" w:after="20"/>
              <w:rPr>
                <w:rFonts w:ascii="Arial Narrow" w:hAnsi="Arial Narrow" w:cs="Arial"/>
                <w:b/>
                <w:bCs/>
                <w:color w:val="FFFFFF"/>
                <w:sz w:val="18"/>
                <w:szCs w:val="18"/>
              </w:rPr>
            </w:pPr>
            <w:r w:rsidRPr="00C8504B">
              <w:rPr>
                <w:rFonts w:ascii="Arial Narrow" w:hAnsi="Arial Narrow" w:cs="Arial"/>
                <w:b/>
                <w:color w:val="FFFFFF"/>
                <w:sz w:val="18"/>
                <w:szCs w:val="18"/>
              </w:rPr>
              <w:t>Beni</w:t>
            </w:r>
          </w:p>
        </w:tc>
        <w:tc>
          <w:tcPr>
            <w:tcW w:w="1027"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612.059</w:t>
            </w:r>
          </w:p>
        </w:tc>
        <w:tc>
          <w:tcPr>
            <w:tcW w:w="974"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-0,3</w:t>
            </w:r>
          </w:p>
        </w:tc>
        <w:tc>
          <w:tcPr>
            <w:tcW w:w="976"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-1,5</w:t>
            </w:r>
          </w:p>
        </w:tc>
        <w:tc>
          <w:tcPr>
            <w:tcW w:w="1113"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+6,9</w:t>
            </w:r>
          </w:p>
        </w:tc>
        <w:tc>
          <w:tcPr>
            <w:tcW w:w="793"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+5,6</w:t>
            </w:r>
          </w:p>
        </w:tc>
        <w:tc>
          <w:tcPr>
            <w:tcW w:w="1070" w:type="dxa"/>
            <w:shd w:val="clear" w:color="auto" w:fill="808080"/>
            <w:tcMar>
              <w:left w:w="85" w:type="dxa"/>
              <w:right w:w="28" w:type="dxa"/>
            </w:tcMar>
            <w:vAlign w:val="center"/>
          </w:tcPr>
          <w:p w:rsidR="00EF1C6D" w:rsidRPr="00EF1C6D" w:rsidRDefault="00EF1C6D" w:rsidP="00EF1C6D">
            <w:pPr>
              <w:spacing w:before="40" w:after="20"/>
              <w:ind w:left="-68"/>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+3,6</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81.415</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+0,4</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+0,3</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+0,8</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+0,7</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+0,5</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18.908</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0,0</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0,0</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+0,1</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0,0</w:t>
            </w:r>
          </w:p>
        </w:tc>
      </w:tr>
      <w:tr w:rsidR="00EF1C6D" w:rsidRPr="00502CE8" w:rsidTr="00EF1C6D">
        <w:trPr>
          <w:trHeight w:val="255"/>
          <w:jc w:val="center"/>
        </w:trPr>
        <w:tc>
          <w:tcPr>
            <w:tcW w:w="4253" w:type="dxa"/>
            <w:vAlign w:val="center"/>
          </w:tcPr>
          <w:p w:rsidR="00EF1C6D" w:rsidRPr="00C8504B" w:rsidRDefault="00EF1C6D" w:rsidP="00EF1C6D">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134.632</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+1,3</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-0,2</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+4,1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+2,6</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+2,2</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68.097</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-1,6</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+0,6</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+1,4</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+3,7</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-0,1</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84.889</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+0,3</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+0,2</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+1,1</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+0,6</w:t>
            </w:r>
          </w:p>
        </w:tc>
      </w:tr>
      <w:tr w:rsidR="00EF1C6D" w:rsidRPr="00502CE8" w:rsidTr="00EF1C6D">
        <w:trPr>
          <w:trHeight w:val="255"/>
          <w:jc w:val="center"/>
        </w:trPr>
        <w:tc>
          <w:tcPr>
            <w:tcW w:w="4253" w:type="dxa"/>
            <w:shd w:val="clear" w:color="auto" w:fill="808080"/>
            <w:vAlign w:val="center"/>
          </w:tcPr>
          <w:p w:rsidR="00EF1C6D" w:rsidRPr="00C8504B" w:rsidRDefault="00EF1C6D" w:rsidP="00EF1C6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1027"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387.941</w:t>
            </w:r>
          </w:p>
        </w:tc>
        <w:tc>
          <w:tcPr>
            <w:tcW w:w="974"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+0,3</w:t>
            </w:r>
          </w:p>
        </w:tc>
        <w:tc>
          <w:tcPr>
            <w:tcW w:w="976"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+0,1</w:t>
            </w:r>
          </w:p>
        </w:tc>
        <w:tc>
          <w:tcPr>
            <w:tcW w:w="1113"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+2,0</w:t>
            </w:r>
          </w:p>
        </w:tc>
        <w:tc>
          <w:tcPr>
            <w:tcW w:w="793" w:type="dxa"/>
            <w:shd w:val="clear" w:color="auto" w:fill="808080"/>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+1,8</w:t>
            </w:r>
          </w:p>
        </w:tc>
        <w:tc>
          <w:tcPr>
            <w:tcW w:w="1070" w:type="dxa"/>
            <w:shd w:val="clear" w:color="auto" w:fill="808080"/>
            <w:tcMar>
              <w:left w:w="85" w:type="dxa"/>
              <w:right w:w="28" w:type="dxa"/>
            </w:tcMar>
            <w:vAlign w:val="center"/>
          </w:tcPr>
          <w:p w:rsidR="00EF1C6D" w:rsidRPr="00EF1C6D" w:rsidRDefault="00EF1C6D" w:rsidP="00EF1C6D">
            <w:pPr>
              <w:spacing w:before="40" w:after="20"/>
              <w:ind w:left="-68"/>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+1,0</w:t>
            </w:r>
          </w:p>
        </w:tc>
      </w:tr>
      <w:tr w:rsidR="00EF1C6D" w:rsidRPr="00502CE8" w:rsidTr="00EF1C6D">
        <w:trPr>
          <w:trHeight w:val="255"/>
          <w:jc w:val="center"/>
        </w:trPr>
        <w:tc>
          <w:tcPr>
            <w:tcW w:w="4253" w:type="dxa"/>
            <w:shd w:val="clear" w:color="auto" w:fill="E42618"/>
            <w:vAlign w:val="center"/>
          </w:tcPr>
          <w:p w:rsidR="00EF1C6D" w:rsidRPr="00C8504B" w:rsidRDefault="00EF1C6D" w:rsidP="00EF1C6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27" w:type="dxa"/>
            <w:shd w:val="clear" w:color="auto" w:fill="E42618"/>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1.000.000</w:t>
            </w:r>
          </w:p>
        </w:tc>
        <w:tc>
          <w:tcPr>
            <w:tcW w:w="974" w:type="dxa"/>
            <w:shd w:val="clear" w:color="auto" w:fill="E42618"/>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0,0</w:t>
            </w:r>
          </w:p>
        </w:tc>
        <w:tc>
          <w:tcPr>
            <w:tcW w:w="976" w:type="dxa"/>
            <w:shd w:val="clear" w:color="auto" w:fill="E42618"/>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-0,9</w:t>
            </w:r>
          </w:p>
        </w:tc>
        <w:tc>
          <w:tcPr>
            <w:tcW w:w="1113" w:type="dxa"/>
            <w:shd w:val="clear" w:color="auto" w:fill="E42618"/>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+5,1</w:t>
            </w:r>
          </w:p>
        </w:tc>
        <w:tc>
          <w:tcPr>
            <w:tcW w:w="793" w:type="dxa"/>
            <w:shd w:val="clear" w:color="auto" w:fill="E42618"/>
            <w:vAlign w:val="center"/>
          </w:tcPr>
          <w:p w:rsidR="00EF1C6D" w:rsidRPr="00EF1C6D" w:rsidRDefault="00EF1C6D" w:rsidP="00EF1C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+4,2</w:t>
            </w:r>
          </w:p>
        </w:tc>
        <w:tc>
          <w:tcPr>
            <w:tcW w:w="1070" w:type="dxa"/>
            <w:shd w:val="clear" w:color="auto" w:fill="E42618"/>
            <w:tcMar>
              <w:left w:w="85" w:type="dxa"/>
              <w:right w:w="28" w:type="dxa"/>
            </w:tcMar>
            <w:vAlign w:val="center"/>
          </w:tcPr>
          <w:p w:rsidR="00EF1C6D" w:rsidRPr="00EF1C6D" w:rsidRDefault="00EF1C6D" w:rsidP="00EF1C6D">
            <w:pPr>
              <w:spacing w:before="40" w:after="20"/>
              <w:ind w:left="-68"/>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+2,6</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e degli alimentari freschi (Componente di fondo)</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831.254</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-1,4</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-0,2</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672.226</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-2,2</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-1,9</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+1,3</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+1,5</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-0,7</w:t>
            </w:r>
          </w:p>
        </w:tc>
      </w:tr>
      <w:tr w:rsidR="00EF1C6D" w:rsidRPr="00502CE8" w:rsidTr="00EF1C6D">
        <w:trPr>
          <w:trHeight w:val="255"/>
          <w:jc w:val="center"/>
        </w:trPr>
        <w:tc>
          <w:tcPr>
            <w:tcW w:w="4253" w:type="dxa"/>
            <w:vAlign w:val="center"/>
          </w:tcPr>
          <w:p w:rsidR="00EF1C6D" w:rsidRPr="00C8504B" w:rsidRDefault="00EF1C6D" w:rsidP="00EF1C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w:t>
            </w:r>
          </w:p>
        </w:tc>
        <w:tc>
          <w:tcPr>
            <w:tcW w:w="1027"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902.836</w:t>
            </w:r>
          </w:p>
        </w:tc>
        <w:tc>
          <w:tcPr>
            <w:tcW w:w="974"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-1,3</w:t>
            </w:r>
          </w:p>
        </w:tc>
        <w:tc>
          <w:tcPr>
            <w:tcW w:w="976"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-1,2</w:t>
            </w:r>
          </w:p>
        </w:tc>
        <w:tc>
          <w:tcPr>
            <w:tcW w:w="1113" w:type="dxa"/>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+1,7</w:t>
            </w:r>
          </w:p>
        </w:tc>
        <w:tc>
          <w:tcPr>
            <w:tcW w:w="793" w:type="dxa"/>
            <w:shd w:val="clear" w:color="auto" w:fill="D9D9D9"/>
            <w:vAlign w:val="center"/>
          </w:tcPr>
          <w:p w:rsidR="00EF1C6D" w:rsidRPr="00EF1C6D" w:rsidRDefault="00EF1C6D" w:rsidP="00EF1C6D">
            <w:pPr>
              <w:spacing w:before="40" w:after="20"/>
              <w:ind w:left="-68" w:right="57"/>
              <w:jc w:val="right"/>
              <w:rPr>
                <w:rFonts w:ascii="Arial Narrow" w:hAnsi="Arial Narrow" w:cs="Arial"/>
                <w:sz w:val="18"/>
                <w:szCs w:val="18"/>
              </w:rPr>
            </w:pPr>
            <w:r w:rsidRPr="00EF1C6D">
              <w:rPr>
                <w:rFonts w:ascii="Arial Narrow" w:hAnsi="Arial Narrow" w:cs="Arial"/>
                <w:sz w:val="18"/>
                <w:szCs w:val="18"/>
              </w:rPr>
              <w:t>+1,8</w:t>
            </w:r>
          </w:p>
        </w:tc>
        <w:tc>
          <w:tcPr>
            <w:tcW w:w="1070" w:type="dxa"/>
            <w:shd w:val="clear" w:color="auto" w:fill="auto"/>
            <w:tcMar>
              <w:left w:w="85" w:type="dxa"/>
              <w:right w:w="28" w:type="dxa"/>
            </w:tcMar>
            <w:vAlign w:val="center"/>
          </w:tcPr>
          <w:p w:rsidR="00EF1C6D" w:rsidRPr="00EF1C6D" w:rsidRDefault="00EF1C6D" w:rsidP="00EF1C6D">
            <w:pPr>
              <w:spacing w:before="40" w:after="20"/>
              <w:ind w:left="-68"/>
              <w:jc w:val="right"/>
              <w:rPr>
                <w:rFonts w:ascii="Arial Narrow" w:hAnsi="Arial Narrow" w:cs="Arial"/>
                <w:sz w:val="18"/>
                <w:szCs w:val="18"/>
              </w:rPr>
            </w:pPr>
            <w:r w:rsidRPr="00EF1C6D">
              <w:rPr>
                <w:rFonts w:ascii="Arial Narrow" w:hAnsi="Arial Narrow" w:cs="Arial"/>
                <w:sz w:val="18"/>
                <w:szCs w:val="18"/>
              </w:rPr>
              <w:t>+0,2</w:t>
            </w:r>
          </w:p>
        </w:tc>
      </w:tr>
    </w:tbl>
    <w:p w:rsidR="00CF6BC3" w:rsidRPr="00E33F44" w:rsidRDefault="00CF6BC3" w:rsidP="00CF6BC3">
      <w:pPr>
        <w:spacing w:before="0" w:after="120"/>
        <w:jc w:val="both"/>
        <w:rPr>
          <w:rFonts w:ascii="Arial" w:hAnsi="Arial" w:cs="Arial"/>
          <w:sz w:val="21"/>
          <w:szCs w:val="21"/>
        </w:rPr>
      </w:pPr>
    </w:p>
    <w:p w:rsidR="00901999" w:rsidRPr="00C8504B" w:rsidRDefault="00901999" w:rsidP="009A110B">
      <w:pPr>
        <w:widowControl/>
        <w:overflowPunct/>
        <w:autoSpaceDE/>
        <w:autoSpaceDN/>
        <w:adjustRightInd/>
        <w:spacing w:before="0" w:after="0"/>
        <w:jc w:val="both"/>
        <w:rPr>
          <w:rFonts w:ascii="Arial Narrow" w:hAnsi="Arial Narrow" w:cs="Arial"/>
          <w:color w:val="5F5F5F"/>
        </w:rPr>
      </w:pPr>
      <w:r w:rsidRPr="00C8504B">
        <w:rPr>
          <w:rFonts w:ascii="Arial Narrow" w:hAnsi="Arial Narrow" w:cs="Arial"/>
          <w:b/>
          <w:color w:val="E42618"/>
          <w:kern w:val="0"/>
          <w:sz w:val="22"/>
          <w:szCs w:val="22"/>
        </w:rPr>
        <w:t>FIGURA 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ITALIA E UNIONE ECONOMICA E MONETARIA</w:t>
      </w:r>
      <w:r w:rsidR="00DA78A0">
        <w:rPr>
          <w:rFonts w:ascii="Arial Narrow" w:hAnsi="Arial Narrow" w:cs="Calibri"/>
          <w:b/>
          <w:bCs/>
          <w:color w:val="5F5F5F"/>
          <w:kern w:val="0"/>
          <w:sz w:val="22"/>
          <w:szCs w:val="22"/>
          <w:vertAlign w:val="superscript"/>
        </w:rPr>
        <w:t>1</w:t>
      </w:r>
      <w:r w:rsidRPr="00C8504B">
        <w:rPr>
          <w:rFonts w:ascii="Arial Narrow" w:hAnsi="Arial Narrow"/>
          <w:color w:val="5F5F5F"/>
        </w:rPr>
        <w:br/>
      </w:r>
      <w:r w:rsidRPr="00C8504B">
        <w:rPr>
          <w:rFonts w:ascii="Arial Narrow" w:hAnsi="Arial Narrow" w:cs="Arial"/>
          <w:color w:val="5F5F5F"/>
        </w:rPr>
        <w:t>Gennaio 201</w:t>
      </w:r>
      <w:r w:rsidR="005B7BD6">
        <w:rPr>
          <w:rFonts w:ascii="Arial Narrow" w:hAnsi="Arial Narrow" w:cs="Arial"/>
          <w:color w:val="5F5F5F"/>
        </w:rPr>
        <w:t>7</w:t>
      </w:r>
      <w:r w:rsidRPr="00C8504B">
        <w:rPr>
          <w:rFonts w:ascii="Arial Narrow" w:hAnsi="Arial Narrow" w:cs="Arial"/>
          <w:color w:val="5F5F5F"/>
        </w:rPr>
        <w:t xml:space="preserve"> </w:t>
      </w:r>
      <w:r w:rsidR="008E006C">
        <w:rPr>
          <w:rFonts w:ascii="Arial Narrow" w:hAnsi="Arial Narrow" w:cs="Arial"/>
          <w:color w:val="5F5F5F"/>
        </w:rPr>
        <w:t>–</w:t>
      </w:r>
      <w:r w:rsidRPr="00C8504B">
        <w:rPr>
          <w:rFonts w:ascii="Arial Narrow" w:hAnsi="Arial Narrow" w:cs="Arial"/>
          <w:color w:val="5F5F5F"/>
        </w:rPr>
        <w:t xml:space="preserve"> </w:t>
      </w:r>
      <w:r w:rsidR="005B7BD6">
        <w:rPr>
          <w:rFonts w:ascii="Arial Narrow" w:hAnsi="Arial Narrow" w:cs="Arial"/>
          <w:color w:val="5F5F5F"/>
        </w:rPr>
        <w:t>g</w:t>
      </w:r>
      <w:r w:rsidR="005B7BD6" w:rsidRPr="005B7BD6">
        <w:rPr>
          <w:rFonts w:ascii="Arial Narrow" w:hAnsi="Arial Narrow" w:cs="Arial"/>
          <w:color w:val="5F5F5F"/>
        </w:rPr>
        <w:t>ennaio 2022</w:t>
      </w:r>
      <w:r w:rsidRPr="00C8504B">
        <w:rPr>
          <w:rFonts w:ascii="Arial Narrow" w:hAnsi="Arial Narrow" w:cs="Arial"/>
          <w:color w:val="5F5F5F"/>
        </w:rPr>
        <w:t>, variazioni percentuali tendenziali (base 2015=100)</w:t>
      </w:r>
    </w:p>
    <w:p w:rsidR="00901999" w:rsidRDefault="0080348D" w:rsidP="009A110B">
      <w:pPr>
        <w:pStyle w:val="Corpotesto"/>
        <w:spacing w:line="240" w:lineRule="auto"/>
        <w:jc w:val="both"/>
        <w:rPr>
          <w:noProof/>
        </w:rPr>
      </w:pPr>
      <w:r>
        <w:rPr>
          <w:noProof/>
        </w:rPr>
        <w:drawing>
          <wp:inline distT="0" distB="0" distL="0" distR="0" wp14:anchorId="296F2584">
            <wp:extent cx="6657340" cy="215836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rsidR="00CD5998" w:rsidRDefault="00DA78A0" w:rsidP="00606B17">
      <w:pPr>
        <w:pStyle w:val="Corpotesto"/>
        <w:spacing w:line="240" w:lineRule="auto"/>
        <w:jc w:val="both"/>
        <w:rPr>
          <w:rFonts w:ascii="Arial" w:hAnsi="Arial" w:cs="Arial"/>
          <w:sz w:val="16"/>
        </w:rPr>
      </w:pPr>
      <w:r>
        <w:rPr>
          <w:rFonts w:ascii="Arial" w:hAnsi="Arial" w:cs="Arial"/>
          <w:sz w:val="16"/>
          <w:vertAlign w:val="superscript"/>
        </w:rPr>
        <w:t xml:space="preserve">(1) </w:t>
      </w:r>
      <w:r>
        <w:rPr>
          <w:rFonts w:ascii="Arial" w:hAnsi="Arial" w:cs="Arial"/>
          <w:sz w:val="16"/>
        </w:rPr>
        <w:t>L’indice IPCA per l’Unione Economica e Monetaria (</w:t>
      </w:r>
      <w:proofErr w:type="spellStart"/>
      <w:r>
        <w:rPr>
          <w:rFonts w:ascii="Arial" w:hAnsi="Arial" w:cs="Arial"/>
          <w:sz w:val="16"/>
        </w:rPr>
        <w:t>Uem</w:t>
      </w:r>
      <w:proofErr w:type="spellEnd"/>
      <w:r>
        <w:rPr>
          <w:rFonts w:ascii="Arial" w:hAnsi="Arial" w:cs="Arial"/>
          <w:sz w:val="16"/>
        </w:rPr>
        <w:t xml:space="preserve">) </w:t>
      </w:r>
      <w:r w:rsidRPr="003B4962">
        <w:rPr>
          <w:rFonts w:ascii="Arial" w:hAnsi="Arial" w:cs="Arial"/>
          <w:sz w:val="16"/>
        </w:rPr>
        <w:t xml:space="preserve">di </w:t>
      </w:r>
      <w:r w:rsidR="00352DA4">
        <w:rPr>
          <w:rFonts w:ascii="Arial" w:hAnsi="Arial" w:cs="Arial"/>
          <w:sz w:val="16"/>
        </w:rPr>
        <w:t>gennaio 2022</w:t>
      </w:r>
      <w:r w:rsidRPr="003B4962">
        <w:rPr>
          <w:rFonts w:ascii="Arial" w:hAnsi="Arial" w:cs="Arial"/>
          <w:sz w:val="16"/>
        </w:rPr>
        <w:t xml:space="preserve"> è la stima anticipata diffusa da </w:t>
      </w:r>
      <w:r w:rsidRPr="003074B3">
        <w:rPr>
          <w:rFonts w:ascii="Arial" w:hAnsi="Arial" w:cs="Arial"/>
          <w:sz w:val="16"/>
        </w:rPr>
        <w:t xml:space="preserve">Eurostat </w:t>
      </w:r>
      <w:r w:rsidR="00B546B5">
        <w:rPr>
          <w:rFonts w:ascii="Arial" w:hAnsi="Arial" w:cs="Arial"/>
          <w:sz w:val="16"/>
        </w:rPr>
        <w:t>m</w:t>
      </w:r>
      <w:r w:rsidR="00352DA4">
        <w:rPr>
          <w:rFonts w:ascii="Arial" w:hAnsi="Arial" w:cs="Arial"/>
          <w:sz w:val="16"/>
        </w:rPr>
        <w:t>ercoledì 2 febbraio 2022</w:t>
      </w:r>
      <w:r w:rsidRPr="003074B3">
        <w:rPr>
          <w:rFonts w:ascii="Arial" w:hAnsi="Arial" w:cs="Arial"/>
          <w:sz w:val="16"/>
        </w:rPr>
        <w:t>.</w:t>
      </w:r>
    </w:p>
    <w:p w:rsidR="00CD5998" w:rsidRDefault="00CD5998" w:rsidP="00901999">
      <w:pPr>
        <w:pStyle w:val="Corpotesto"/>
        <w:spacing w:before="120" w:after="60" w:line="240" w:lineRule="auto"/>
        <w:jc w:val="both"/>
        <w:rPr>
          <w:rFonts w:ascii="Arial" w:hAnsi="Arial" w:cs="Arial"/>
          <w:iCs/>
          <w:sz w:val="21"/>
          <w:szCs w:val="21"/>
        </w:rPr>
        <w:sectPr w:rsidR="00CD5998" w:rsidSect="001969C1">
          <w:headerReference w:type="default" r:id="rId30"/>
          <w:pgSz w:w="11907" w:h="16840" w:code="9"/>
          <w:pgMar w:top="1537" w:right="851" w:bottom="680" w:left="851" w:header="567" w:footer="567" w:gutter="0"/>
          <w:cols w:space="720"/>
          <w:noEndnote/>
          <w:docGrid w:linePitch="272"/>
        </w:sectPr>
      </w:pPr>
    </w:p>
    <w:p w:rsidR="00901999" w:rsidRPr="00C8504B" w:rsidRDefault="00901999" w:rsidP="00901999">
      <w:pPr>
        <w:pStyle w:val="Corpotesto"/>
        <w:spacing w:before="120" w:after="60" w:line="240" w:lineRule="auto"/>
        <w:jc w:val="both"/>
        <w:rPr>
          <w:rFonts w:ascii="Arial" w:hAnsi="Arial" w:cs="Arial"/>
          <w:iCs/>
          <w:sz w:val="21"/>
          <w:szCs w:val="21"/>
        </w:rPr>
      </w:pPr>
    </w:p>
    <w:p w:rsidR="005D2A67" w:rsidRPr="00DA78A0" w:rsidRDefault="005D2A67" w:rsidP="00014AF9">
      <w:pPr>
        <w:pStyle w:val="Corpotesto"/>
        <w:spacing w:after="120" w:line="240" w:lineRule="auto"/>
        <w:jc w:val="both"/>
        <w:rPr>
          <w:rFonts w:ascii="Arial" w:hAnsi="Arial" w:cs="Arial"/>
          <w:iCs/>
          <w:sz w:val="21"/>
          <w:szCs w:val="21"/>
        </w:rPr>
      </w:pPr>
      <w:r w:rsidRPr="00C8504B">
        <w:rPr>
          <w:rFonts w:ascii="Arial" w:hAnsi="Arial" w:cs="Arial"/>
          <w:iCs/>
          <w:sz w:val="21"/>
          <w:szCs w:val="21"/>
        </w:rPr>
        <w:t xml:space="preserve">Le stime preliminari e definitive delle variazioni congiunturali e tendenziali degli indici generali NIC e IPCA relative al mese di </w:t>
      </w:r>
      <w:r w:rsidR="00E24113">
        <w:rPr>
          <w:rFonts w:ascii="Arial" w:hAnsi="Arial" w:cs="Arial"/>
          <w:iCs/>
          <w:sz w:val="21"/>
          <w:szCs w:val="21"/>
        </w:rPr>
        <w:t>gennaio 2022</w:t>
      </w:r>
      <w:r w:rsidRPr="00C8504B">
        <w:rPr>
          <w:rFonts w:ascii="Arial" w:hAnsi="Arial" w:cs="Arial"/>
          <w:iCs/>
          <w:sz w:val="21"/>
          <w:szCs w:val="21"/>
        </w:rPr>
        <w:t xml:space="preserve"> sono messe a confronto per valutare l’eventuale revisione intercorsa e</w:t>
      </w:r>
      <w:r w:rsidR="00A42B04">
        <w:rPr>
          <w:rFonts w:ascii="Arial" w:hAnsi="Arial" w:cs="Arial"/>
          <w:iCs/>
          <w:sz w:val="21"/>
          <w:szCs w:val="21"/>
        </w:rPr>
        <w:t>,</w:t>
      </w:r>
      <w:r w:rsidRPr="00C8504B">
        <w:rPr>
          <w:rFonts w:ascii="Arial" w:hAnsi="Arial" w:cs="Arial"/>
          <w:iCs/>
          <w:sz w:val="21"/>
          <w:szCs w:val="21"/>
        </w:rPr>
        <w:t xml:space="preserve"> quindi</w:t>
      </w:r>
      <w:r w:rsidR="00A42B04">
        <w:rPr>
          <w:rFonts w:ascii="Arial" w:hAnsi="Arial" w:cs="Arial"/>
          <w:iCs/>
          <w:sz w:val="21"/>
          <w:szCs w:val="21"/>
        </w:rPr>
        <w:t>,</w:t>
      </w:r>
      <w:r w:rsidRPr="00C8504B">
        <w:rPr>
          <w:rFonts w:ascii="Arial" w:hAnsi="Arial" w:cs="Arial"/>
          <w:iCs/>
          <w:sz w:val="21"/>
          <w:szCs w:val="21"/>
        </w:rPr>
        <w:t xml:space="preserve"> l’accuratezza della s</w:t>
      </w:r>
      <w:r w:rsidR="00B0446F" w:rsidRPr="00C8504B">
        <w:rPr>
          <w:rFonts w:ascii="Arial" w:hAnsi="Arial" w:cs="Arial"/>
          <w:iCs/>
          <w:sz w:val="21"/>
          <w:szCs w:val="21"/>
        </w:rPr>
        <w:t>tima preliminare (</w:t>
      </w:r>
      <w:r w:rsidR="00B0446F" w:rsidRPr="00DA78A0">
        <w:rPr>
          <w:rFonts w:ascii="Arial" w:hAnsi="Arial" w:cs="Arial"/>
          <w:iCs/>
          <w:sz w:val="21"/>
          <w:szCs w:val="21"/>
        </w:rPr>
        <w:t xml:space="preserve">Prospetto </w:t>
      </w:r>
      <w:r w:rsidR="00330898">
        <w:rPr>
          <w:rFonts w:ascii="Arial" w:hAnsi="Arial" w:cs="Arial"/>
          <w:iCs/>
          <w:sz w:val="21"/>
          <w:szCs w:val="21"/>
        </w:rPr>
        <w:t>8</w:t>
      </w:r>
      <w:r w:rsidR="00B0446F" w:rsidRPr="00DA78A0">
        <w:rPr>
          <w:rFonts w:ascii="Arial" w:hAnsi="Arial" w:cs="Arial"/>
          <w:iCs/>
          <w:sz w:val="21"/>
          <w:szCs w:val="21"/>
        </w:rPr>
        <w:t>).</w:t>
      </w:r>
    </w:p>
    <w:p w:rsidR="005D2A67" w:rsidRPr="00DA78A0" w:rsidRDefault="005D2A67" w:rsidP="00014AF9">
      <w:pPr>
        <w:pStyle w:val="Corpotesto"/>
        <w:spacing w:after="120" w:line="240" w:lineRule="auto"/>
        <w:jc w:val="both"/>
        <w:rPr>
          <w:rFonts w:ascii="Arial" w:hAnsi="Arial" w:cs="Arial"/>
          <w:iCs/>
          <w:sz w:val="21"/>
          <w:szCs w:val="21"/>
        </w:rPr>
      </w:pPr>
      <w:r w:rsidRPr="00DA78A0">
        <w:rPr>
          <w:rFonts w:ascii="Arial" w:hAnsi="Arial" w:cs="Arial"/>
          <w:iCs/>
          <w:sz w:val="21"/>
          <w:szCs w:val="21"/>
        </w:rPr>
        <w:t>Per un’analisi più ampia dell’accuratezza e una descrizione della metodologia della st</w:t>
      </w:r>
      <w:r w:rsidR="00A42B04" w:rsidRPr="00DA78A0">
        <w:rPr>
          <w:rFonts w:ascii="Arial" w:hAnsi="Arial" w:cs="Arial"/>
          <w:iCs/>
          <w:sz w:val="21"/>
          <w:szCs w:val="21"/>
        </w:rPr>
        <w:t>ima provvisoria dell’inflazione</w:t>
      </w:r>
      <w:r w:rsidRPr="00DA78A0">
        <w:rPr>
          <w:rFonts w:ascii="Arial" w:hAnsi="Arial" w:cs="Arial"/>
          <w:iCs/>
          <w:sz w:val="21"/>
          <w:szCs w:val="21"/>
        </w:rPr>
        <w:t xml:space="preserve"> si rimanda alla nota metodologica allegata al comunicato.</w:t>
      </w:r>
    </w:p>
    <w:p w:rsidR="00EA102B" w:rsidRPr="00DA78A0" w:rsidRDefault="00EA102B" w:rsidP="00D77C5C">
      <w:pPr>
        <w:pStyle w:val="Corpodeltesto2"/>
        <w:tabs>
          <w:tab w:val="left" w:pos="0"/>
          <w:tab w:val="left" w:pos="6300"/>
        </w:tabs>
        <w:spacing w:line="240" w:lineRule="auto"/>
        <w:jc w:val="both"/>
        <w:rPr>
          <w:rFonts w:ascii="Arial" w:hAnsi="Arial" w:cs="Arial"/>
          <w:iCs/>
          <w:kern w:val="28"/>
          <w:sz w:val="21"/>
          <w:szCs w:val="21"/>
        </w:rPr>
      </w:pPr>
    </w:p>
    <w:p w:rsidR="005D2A67" w:rsidRPr="00C8504B" w:rsidRDefault="005D2A67" w:rsidP="005D2A67">
      <w:pPr>
        <w:pStyle w:val="Corpotesto"/>
        <w:spacing w:after="120" w:line="240" w:lineRule="auto"/>
        <w:jc w:val="both"/>
        <w:rPr>
          <w:rFonts w:ascii="Arial Narrow" w:hAnsi="Arial Narrow" w:cs="Arial"/>
          <w:sz w:val="19"/>
          <w:szCs w:val="19"/>
        </w:rPr>
      </w:pPr>
      <w:r w:rsidRPr="00DA78A0">
        <w:rPr>
          <w:rFonts w:ascii="Arial Narrow" w:hAnsi="Arial Narrow" w:cs="Arial"/>
          <w:b/>
          <w:color w:val="E42618"/>
          <w:kern w:val="0"/>
          <w:sz w:val="22"/>
          <w:szCs w:val="22"/>
        </w:rPr>
        <w:t xml:space="preserve">PROSPETTO </w:t>
      </w:r>
      <w:r w:rsidR="00330898">
        <w:rPr>
          <w:rFonts w:ascii="Arial Narrow" w:hAnsi="Arial Narrow" w:cs="Arial"/>
          <w:b/>
          <w:color w:val="E42618"/>
          <w:kern w:val="0"/>
          <w:sz w:val="22"/>
          <w:szCs w:val="22"/>
        </w:rPr>
        <w:t>8</w:t>
      </w:r>
      <w:r w:rsidRPr="00DA78A0">
        <w:rPr>
          <w:rFonts w:ascii="Arial Narrow" w:hAnsi="Arial Narrow" w:cs="Arial"/>
          <w:b/>
          <w:color w:val="E42618"/>
          <w:kern w:val="0"/>
          <w:sz w:val="22"/>
          <w:szCs w:val="22"/>
        </w:rPr>
        <w:t>.</w:t>
      </w:r>
      <w:r w:rsidRPr="00DA78A0">
        <w:rPr>
          <w:rFonts w:ascii="Arial Narrow" w:hAnsi="Arial Narrow" w:cs="Arial"/>
          <w:b/>
          <w:color w:val="5F5F5F"/>
          <w:kern w:val="0"/>
          <w:sz w:val="22"/>
          <w:szCs w:val="22"/>
        </w:rPr>
        <w:t xml:space="preserve"> </w:t>
      </w:r>
      <w:r w:rsidRPr="00DA78A0">
        <w:rPr>
          <w:rFonts w:ascii="Arial Narrow" w:hAnsi="Arial Narrow" w:cs="Calibri"/>
          <w:b/>
          <w:bCs/>
          <w:color w:val="5F5F5F"/>
          <w:kern w:val="0"/>
          <w:sz w:val="22"/>
          <w:szCs w:val="22"/>
        </w:rPr>
        <w:t>REVISIONI DEGLI INDICI DEI PREZZI AL CONSUMO</w:t>
      </w:r>
      <w:r w:rsidRPr="00C8504B">
        <w:rPr>
          <w:rFonts w:ascii="Arial Narrow" w:hAnsi="Arial Narrow" w:cs="Arial"/>
          <w:b/>
          <w:color w:val="5F5F5F"/>
        </w:rPr>
        <w:t xml:space="preserve"> </w:t>
      </w:r>
      <w:r w:rsidRPr="00C8504B">
        <w:rPr>
          <w:rFonts w:ascii="Arial Narrow" w:hAnsi="Arial Narrow" w:cs="Arial"/>
          <w:b/>
          <w:color w:val="5F5F5F"/>
        </w:rPr>
        <w:br/>
      </w:r>
      <w:r w:rsidR="005B7BD6" w:rsidRPr="005B7BD6">
        <w:rPr>
          <w:rFonts w:ascii="Arial Narrow" w:hAnsi="Arial Narrow" w:cs="Arial"/>
          <w:color w:val="5F5F5F"/>
        </w:rPr>
        <w:t>Gennaio 2022</w:t>
      </w:r>
      <w:r w:rsidRPr="00C8504B">
        <w:rPr>
          <w:rFonts w:ascii="Arial Narrow" w:hAnsi="Arial Narrow" w:cs="Arial"/>
          <w:color w:val="5F5F5F"/>
        </w:rPr>
        <w:t>, indici e variazioni percentuali</w:t>
      </w:r>
      <w:r w:rsidR="00625F9C" w:rsidRPr="00C8504B">
        <w:rPr>
          <w:rFonts w:ascii="Arial Narrow" w:hAnsi="Arial Narrow" w:cs="Arial"/>
          <w:color w:val="5F5F5F"/>
        </w:rPr>
        <w:t xml:space="preserve"> congiunturali e tendenziali</w:t>
      </w:r>
      <w:r w:rsidRPr="00C8504B">
        <w:rPr>
          <w:rFonts w:ascii="Arial Narrow" w:hAnsi="Arial Narrow" w:cs="Arial"/>
          <w:color w:val="5F5F5F"/>
        </w:rPr>
        <w:t xml:space="preserve"> (base 2015=100)</w:t>
      </w:r>
    </w:p>
    <w:tbl>
      <w:tblPr>
        <w:tblW w:w="10206" w:type="dxa"/>
        <w:tblInd w:w="108" w:type="dxa"/>
        <w:tblLayout w:type="fixed"/>
        <w:tblLook w:val="04A0" w:firstRow="1" w:lastRow="0" w:firstColumn="1" w:lastColumn="0" w:noHBand="0" w:noVBand="1"/>
      </w:tblPr>
      <w:tblGrid>
        <w:gridCol w:w="3100"/>
        <w:gridCol w:w="1134"/>
        <w:gridCol w:w="1134"/>
        <w:gridCol w:w="71"/>
        <w:gridCol w:w="1205"/>
        <w:gridCol w:w="1153"/>
        <w:gridCol w:w="1290"/>
        <w:gridCol w:w="1119"/>
      </w:tblGrid>
      <w:tr w:rsidR="00E95076" w:rsidRPr="00C8504B" w:rsidTr="00E1200F">
        <w:trPr>
          <w:trHeight w:val="255"/>
        </w:trPr>
        <w:tc>
          <w:tcPr>
            <w:tcW w:w="3100" w:type="dxa"/>
            <w:vMerge w:val="restart"/>
            <w:tcBorders>
              <w:top w:val="single" w:sz="4" w:space="0" w:color="auto"/>
              <w:left w:val="nil"/>
              <w:right w:val="nil"/>
            </w:tcBorders>
            <w:shd w:val="clear" w:color="000000" w:fill="FFFFFF"/>
            <w:vAlign w:val="center"/>
            <w:hideMark/>
          </w:tcPr>
          <w:p w:rsidR="00E95076" w:rsidRPr="00C8504B" w:rsidRDefault="00E95076" w:rsidP="00E95076">
            <w:pPr>
              <w:widowControl/>
              <w:overflowPunct/>
              <w:autoSpaceDE/>
              <w:autoSpaceDN/>
              <w:adjustRightInd/>
              <w:spacing w:before="40" w:after="20"/>
              <w:rPr>
                <w:rFonts w:ascii="Arial Narrow" w:hAnsi="Arial Narrow"/>
                <w:color w:val="000000"/>
                <w:kern w:val="0"/>
                <w:sz w:val="18"/>
                <w:szCs w:val="18"/>
                <w:lang w:eastAsia="en-GB"/>
              </w:rPr>
            </w:pPr>
          </w:p>
        </w:tc>
        <w:tc>
          <w:tcPr>
            <w:tcW w:w="3544" w:type="dxa"/>
            <w:gridSpan w:val="4"/>
            <w:tcBorders>
              <w:top w:val="single" w:sz="4" w:space="0" w:color="auto"/>
              <w:left w:val="nil"/>
              <w:bottom w:val="single" w:sz="4" w:space="0" w:color="auto"/>
              <w:right w:val="nil"/>
            </w:tcBorders>
            <w:shd w:val="clear" w:color="auto" w:fill="D9D9D9"/>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PROVVISORI</w:t>
            </w:r>
          </w:p>
        </w:tc>
        <w:tc>
          <w:tcPr>
            <w:tcW w:w="3562" w:type="dxa"/>
            <w:gridSpan w:val="3"/>
            <w:tcBorders>
              <w:top w:val="single" w:sz="4" w:space="0" w:color="auto"/>
              <w:left w:val="nil"/>
              <w:bottom w:val="single" w:sz="4" w:space="0" w:color="auto"/>
              <w:right w:val="nil"/>
            </w:tcBorders>
            <w:shd w:val="clear" w:color="000000" w:fill="FFFFFF"/>
            <w:noWrap/>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DEFINITIVI</w:t>
            </w:r>
          </w:p>
        </w:tc>
      </w:tr>
      <w:tr w:rsidR="00834B5B" w:rsidRPr="00C8504B" w:rsidTr="004213C5">
        <w:trPr>
          <w:trHeight w:val="255"/>
        </w:trPr>
        <w:tc>
          <w:tcPr>
            <w:tcW w:w="3100" w:type="dxa"/>
            <w:vMerge/>
            <w:tcBorders>
              <w:left w:val="nil"/>
              <w:right w:val="nil"/>
            </w:tcBorders>
            <w:shd w:val="clear" w:color="000000" w:fill="FFFFFF"/>
            <w:vAlign w:val="center"/>
            <w:hideMark/>
          </w:tcPr>
          <w:p w:rsidR="00834B5B" w:rsidRPr="00C8504B" w:rsidRDefault="00834B5B" w:rsidP="005D2A67">
            <w:pPr>
              <w:spacing w:before="40" w:after="20"/>
              <w:rPr>
                <w:rFonts w:ascii="Arial Narrow" w:hAnsi="Arial Narrow"/>
                <w:color w:val="000000"/>
                <w:kern w:val="0"/>
                <w:sz w:val="18"/>
                <w:szCs w:val="18"/>
                <w:lang w:eastAsia="en-GB"/>
              </w:rPr>
            </w:pPr>
          </w:p>
        </w:tc>
        <w:tc>
          <w:tcPr>
            <w:tcW w:w="1134" w:type="dxa"/>
            <w:tcBorders>
              <w:top w:val="nil"/>
              <w:left w:val="nil"/>
              <w:bottom w:val="single" w:sz="4" w:space="0" w:color="auto"/>
              <w:right w:val="nil"/>
            </w:tcBorders>
            <w:shd w:val="clear" w:color="auto" w:fill="D9D9D9"/>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cs="Arial"/>
                <w:b/>
                <w:bCs/>
                <w:color w:val="000000"/>
                <w:kern w:val="0"/>
                <w:sz w:val="18"/>
                <w:szCs w:val="18"/>
                <w:lang w:eastAsia="en-GB"/>
              </w:rPr>
              <w:t>indici</w:t>
            </w:r>
          </w:p>
        </w:tc>
        <w:tc>
          <w:tcPr>
            <w:tcW w:w="1205" w:type="dxa"/>
            <w:gridSpan w:val="2"/>
            <w:tcBorders>
              <w:top w:val="nil"/>
              <w:left w:val="nil"/>
              <w:bottom w:val="single" w:sz="4" w:space="0" w:color="auto"/>
              <w:right w:val="nil"/>
            </w:tcBorders>
            <w:shd w:val="clear" w:color="auto" w:fill="FFFFFF"/>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205" w:type="dxa"/>
            <w:tcBorders>
              <w:top w:val="nil"/>
              <w:left w:val="nil"/>
              <w:bottom w:val="single" w:sz="4" w:space="0" w:color="auto"/>
              <w:right w:val="nil"/>
            </w:tcBorders>
            <w:shd w:val="clear" w:color="auto" w:fill="D9D9D9"/>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variazioni tendenziali</w:t>
            </w:r>
          </w:p>
        </w:tc>
        <w:tc>
          <w:tcPr>
            <w:tcW w:w="1153" w:type="dxa"/>
            <w:tcBorders>
              <w:top w:val="nil"/>
              <w:left w:val="nil"/>
              <w:bottom w:val="single" w:sz="4" w:space="0" w:color="auto"/>
              <w:right w:val="nil"/>
            </w:tcBorders>
            <w:shd w:val="clear" w:color="auto" w:fill="FFFFFF"/>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cs="Arial"/>
                <w:b/>
                <w:bCs/>
                <w:color w:val="000000"/>
                <w:kern w:val="0"/>
                <w:sz w:val="18"/>
                <w:szCs w:val="18"/>
                <w:lang w:eastAsia="en-GB"/>
              </w:rPr>
              <w:t>indici</w:t>
            </w:r>
          </w:p>
        </w:tc>
        <w:tc>
          <w:tcPr>
            <w:tcW w:w="1290" w:type="dxa"/>
            <w:tcBorders>
              <w:top w:val="nil"/>
              <w:left w:val="nil"/>
              <w:bottom w:val="single" w:sz="4" w:space="0" w:color="auto"/>
              <w:right w:val="nil"/>
            </w:tcBorders>
            <w:shd w:val="clear" w:color="auto" w:fill="D9D9D9"/>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119" w:type="dxa"/>
            <w:tcBorders>
              <w:top w:val="nil"/>
              <w:left w:val="nil"/>
              <w:bottom w:val="single" w:sz="4" w:space="0" w:color="auto"/>
              <w:right w:val="nil"/>
            </w:tcBorders>
            <w:shd w:val="clear" w:color="auto" w:fill="FFFFFF"/>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tendenziali</w:t>
            </w:r>
          </w:p>
        </w:tc>
      </w:tr>
      <w:tr w:rsidR="00873EA2" w:rsidRPr="00C8504B" w:rsidTr="000830DA">
        <w:trPr>
          <w:trHeight w:val="553"/>
        </w:trPr>
        <w:tc>
          <w:tcPr>
            <w:tcW w:w="3100" w:type="dxa"/>
            <w:vMerge/>
            <w:tcBorders>
              <w:left w:val="nil"/>
              <w:bottom w:val="single" w:sz="4" w:space="0" w:color="auto"/>
              <w:right w:val="nil"/>
            </w:tcBorders>
            <w:shd w:val="clear" w:color="000000" w:fill="FFFFFF"/>
            <w:vAlign w:val="center"/>
            <w:hideMark/>
          </w:tcPr>
          <w:p w:rsidR="00873EA2" w:rsidRPr="00C8504B" w:rsidRDefault="00873EA2" w:rsidP="00873EA2">
            <w:pPr>
              <w:spacing w:before="40" w:after="20"/>
              <w:rPr>
                <w:color w:val="000000"/>
                <w:kern w:val="0"/>
                <w:sz w:val="18"/>
                <w:szCs w:val="18"/>
                <w:lang w:eastAsia="en-GB"/>
              </w:rPr>
            </w:pPr>
          </w:p>
        </w:tc>
        <w:tc>
          <w:tcPr>
            <w:tcW w:w="1134" w:type="dxa"/>
            <w:tcBorders>
              <w:top w:val="nil"/>
              <w:left w:val="nil"/>
              <w:bottom w:val="single" w:sz="4" w:space="0" w:color="auto"/>
              <w:right w:val="nil"/>
            </w:tcBorders>
            <w:shd w:val="clear" w:color="auto" w:fill="auto"/>
            <w:vAlign w:val="center"/>
          </w:tcPr>
          <w:p w:rsidR="00873EA2"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gennaio</w:t>
            </w:r>
          </w:p>
          <w:p w:rsidR="00873EA2" w:rsidRPr="00C8504B"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134" w:type="dxa"/>
            <w:tcBorders>
              <w:top w:val="nil"/>
              <w:left w:val="nil"/>
              <w:bottom w:val="single" w:sz="4" w:space="0" w:color="auto"/>
              <w:right w:val="nil"/>
            </w:tcBorders>
            <w:shd w:val="clear" w:color="auto" w:fill="auto"/>
            <w:vAlign w:val="center"/>
          </w:tcPr>
          <w:p w:rsidR="00873EA2" w:rsidRDefault="00873EA2" w:rsidP="00873EA2">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873EA2" w:rsidRPr="00E03E58" w:rsidRDefault="00873EA2" w:rsidP="00873EA2">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dic-21</w:t>
            </w:r>
          </w:p>
        </w:tc>
        <w:tc>
          <w:tcPr>
            <w:tcW w:w="1276" w:type="dxa"/>
            <w:gridSpan w:val="2"/>
            <w:tcBorders>
              <w:top w:val="nil"/>
              <w:left w:val="nil"/>
              <w:bottom w:val="single" w:sz="4" w:space="0" w:color="auto"/>
              <w:right w:val="nil"/>
            </w:tcBorders>
            <w:shd w:val="clear" w:color="auto" w:fill="auto"/>
            <w:vAlign w:val="center"/>
          </w:tcPr>
          <w:p w:rsidR="00873EA2" w:rsidRDefault="00873EA2" w:rsidP="00873EA2">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873EA2" w:rsidRPr="00EF00E1"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gen-21</w:t>
            </w:r>
          </w:p>
        </w:tc>
        <w:tc>
          <w:tcPr>
            <w:tcW w:w="1153" w:type="dxa"/>
            <w:tcBorders>
              <w:top w:val="nil"/>
              <w:left w:val="nil"/>
              <w:bottom w:val="single" w:sz="4" w:space="0" w:color="auto"/>
              <w:right w:val="nil"/>
            </w:tcBorders>
            <w:shd w:val="clear" w:color="auto" w:fill="auto"/>
            <w:noWrap/>
            <w:vAlign w:val="center"/>
            <w:hideMark/>
          </w:tcPr>
          <w:p w:rsidR="00873EA2"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gennaio</w:t>
            </w:r>
          </w:p>
          <w:p w:rsidR="00873EA2" w:rsidRPr="00C8504B"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290" w:type="dxa"/>
            <w:tcBorders>
              <w:top w:val="nil"/>
              <w:left w:val="nil"/>
              <w:bottom w:val="single" w:sz="4" w:space="0" w:color="auto"/>
              <w:right w:val="nil"/>
            </w:tcBorders>
            <w:shd w:val="clear" w:color="auto" w:fill="auto"/>
            <w:noWrap/>
            <w:vAlign w:val="center"/>
            <w:hideMark/>
          </w:tcPr>
          <w:p w:rsidR="00873EA2" w:rsidRDefault="00873EA2" w:rsidP="00873EA2">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873EA2" w:rsidRPr="00E03E58" w:rsidRDefault="00873EA2" w:rsidP="00873EA2">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dic-21</w:t>
            </w:r>
          </w:p>
        </w:tc>
        <w:tc>
          <w:tcPr>
            <w:tcW w:w="1119" w:type="dxa"/>
            <w:tcBorders>
              <w:top w:val="nil"/>
              <w:left w:val="nil"/>
              <w:bottom w:val="single" w:sz="4" w:space="0" w:color="auto"/>
              <w:right w:val="nil"/>
            </w:tcBorders>
            <w:shd w:val="clear" w:color="auto" w:fill="auto"/>
            <w:noWrap/>
            <w:vAlign w:val="center"/>
            <w:hideMark/>
          </w:tcPr>
          <w:p w:rsidR="00873EA2" w:rsidRDefault="00873EA2" w:rsidP="00873EA2">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gen-22</w:t>
            </w:r>
          </w:p>
          <w:p w:rsidR="00873EA2" w:rsidRPr="00EF00E1" w:rsidRDefault="00873EA2" w:rsidP="00873EA2">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gen-21</w:t>
            </w:r>
          </w:p>
        </w:tc>
      </w:tr>
      <w:tr w:rsidR="00E24113" w:rsidRPr="000830DA" w:rsidTr="00E24113">
        <w:trPr>
          <w:trHeight w:val="255"/>
        </w:trPr>
        <w:tc>
          <w:tcPr>
            <w:tcW w:w="3100" w:type="dxa"/>
            <w:tcBorders>
              <w:top w:val="single" w:sz="4" w:space="0" w:color="auto"/>
              <w:left w:val="nil"/>
              <w:bottom w:val="single" w:sz="4" w:space="0" w:color="auto"/>
              <w:right w:val="nil"/>
            </w:tcBorders>
            <w:shd w:val="clear" w:color="auto" w:fill="auto"/>
            <w:vAlign w:val="center"/>
            <w:hideMark/>
          </w:tcPr>
          <w:p w:rsidR="00E24113" w:rsidRPr="000830DA" w:rsidRDefault="00E24113" w:rsidP="00E24113">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nazionale per l’intera collettività NIC </w:t>
            </w:r>
          </w:p>
        </w:tc>
        <w:tc>
          <w:tcPr>
            <w:tcW w:w="1134" w:type="dxa"/>
            <w:tcBorders>
              <w:top w:val="single" w:sz="4" w:space="0" w:color="auto"/>
              <w:left w:val="nil"/>
              <w:bottom w:val="single" w:sz="4" w:space="0" w:color="auto"/>
              <w:right w:val="nil"/>
            </w:tcBorders>
            <w:shd w:val="clear" w:color="000000" w:fill="D9D9D9"/>
            <w:noWrap/>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108,3</w:t>
            </w:r>
          </w:p>
        </w:tc>
        <w:tc>
          <w:tcPr>
            <w:tcW w:w="1134" w:type="dxa"/>
            <w:tcBorders>
              <w:top w:val="single" w:sz="4" w:space="0" w:color="auto"/>
              <w:left w:val="nil"/>
              <w:bottom w:val="single" w:sz="4" w:space="0" w:color="auto"/>
              <w:right w:val="nil"/>
            </w:tcBorders>
            <w:shd w:val="clear" w:color="000000" w:fill="FFFFFF"/>
            <w:noWrap/>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+1,6</w:t>
            </w:r>
          </w:p>
        </w:tc>
        <w:tc>
          <w:tcPr>
            <w:tcW w:w="1276" w:type="dxa"/>
            <w:gridSpan w:val="2"/>
            <w:tcBorders>
              <w:top w:val="single" w:sz="4" w:space="0" w:color="auto"/>
              <w:left w:val="nil"/>
              <w:bottom w:val="single" w:sz="4" w:space="0" w:color="auto"/>
              <w:right w:val="nil"/>
            </w:tcBorders>
            <w:shd w:val="clear" w:color="auto" w:fill="D9D9D9"/>
            <w:noWrap/>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+4,8</w:t>
            </w:r>
          </w:p>
        </w:tc>
        <w:tc>
          <w:tcPr>
            <w:tcW w:w="1153" w:type="dxa"/>
            <w:tcBorders>
              <w:top w:val="single" w:sz="4" w:space="0" w:color="auto"/>
              <w:left w:val="nil"/>
              <w:bottom w:val="single" w:sz="4" w:space="0" w:color="auto"/>
              <w:right w:val="nil"/>
            </w:tcBorders>
            <w:shd w:val="clear" w:color="auto" w:fill="FFFFFF"/>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108,3</w:t>
            </w:r>
          </w:p>
        </w:tc>
        <w:tc>
          <w:tcPr>
            <w:tcW w:w="1290" w:type="dxa"/>
            <w:tcBorders>
              <w:top w:val="single" w:sz="4" w:space="0" w:color="auto"/>
              <w:left w:val="nil"/>
              <w:bottom w:val="single" w:sz="4" w:space="0" w:color="auto"/>
              <w:right w:val="nil"/>
            </w:tcBorders>
            <w:shd w:val="clear" w:color="auto" w:fill="D9D9D9"/>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+1,6</w:t>
            </w:r>
          </w:p>
        </w:tc>
        <w:tc>
          <w:tcPr>
            <w:tcW w:w="1119" w:type="dxa"/>
            <w:tcBorders>
              <w:top w:val="single" w:sz="4" w:space="0" w:color="auto"/>
              <w:left w:val="nil"/>
              <w:bottom w:val="single" w:sz="4" w:space="0" w:color="auto"/>
              <w:right w:val="nil"/>
            </w:tcBorders>
            <w:shd w:val="clear" w:color="000000" w:fill="FFFFFF"/>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+4,8</w:t>
            </w:r>
          </w:p>
        </w:tc>
      </w:tr>
      <w:tr w:rsidR="00E24113" w:rsidRPr="000830DA" w:rsidTr="00E24113">
        <w:trPr>
          <w:trHeight w:val="255"/>
        </w:trPr>
        <w:tc>
          <w:tcPr>
            <w:tcW w:w="3100" w:type="dxa"/>
            <w:tcBorders>
              <w:top w:val="single" w:sz="4" w:space="0" w:color="auto"/>
              <w:left w:val="nil"/>
              <w:bottom w:val="single" w:sz="4" w:space="0" w:color="auto"/>
              <w:right w:val="nil"/>
            </w:tcBorders>
            <w:shd w:val="clear" w:color="000000" w:fill="FFFFFF"/>
            <w:vAlign w:val="center"/>
            <w:hideMark/>
          </w:tcPr>
          <w:p w:rsidR="00E24113" w:rsidRPr="000830DA" w:rsidRDefault="00E24113" w:rsidP="00E24113">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armonizzato IPCA </w:t>
            </w:r>
          </w:p>
        </w:tc>
        <w:tc>
          <w:tcPr>
            <w:tcW w:w="1134" w:type="dxa"/>
            <w:tcBorders>
              <w:top w:val="single" w:sz="4" w:space="0" w:color="auto"/>
              <w:left w:val="nil"/>
              <w:bottom w:val="single" w:sz="4" w:space="0" w:color="auto"/>
              <w:right w:val="nil"/>
            </w:tcBorders>
            <w:shd w:val="clear" w:color="000000" w:fill="D9D9D9"/>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108,0</w:t>
            </w:r>
          </w:p>
        </w:tc>
        <w:tc>
          <w:tcPr>
            <w:tcW w:w="1134" w:type="dxa"/>
            <w:tcBorders>
              <w:top w:val="single" w:sz="4" w:space="0" w:color="auto"/>
              <w:left w:val="nil"/>
              <w:bottom w:val="single" w:sz="4" w:space="0" w:color="auto"/>
              <w:right w:val="nil"/>
            </w:tcBorders>
            <w:shd w:val="clear" w:color="000000" w:fill="FFFFFF"/>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+0,2</w:t>
            </w:r>
          </w:p>
        </w:tc>
        <w:tc>
          <w:tcPr>
            <w:tcW w:w="1276" w:type="dxa"/>
            <w:gridSpan w:val="2"/>
            <w:tcBorders>
              <w:top w:val="single" w:sz="4" w:space="0" w:color="auto"/>
              <w:left w:val="nil"/>
              <w:bottom w:val="single" w:sz="4" w:space="0" w:color="auto"/>
              <w:right w:val="nil"/>
            </w:tcBorders>
            <w:shd w:val="clear" w:color="auto" w:fill="D9D9D9"/>
            <w:vAlign w:val="center"/>
          </w:tcPr>
          <w:p w:rsidR="00E24113" w:rsidRPr="008F2167"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8F2167">
              <w:rPr>
                <w:rFonts w:ascii="Arial Narrow" w:hAnsi="Arial Narrow"/>
                <w:color w:val="000000"/>
                <w:kern w:val="0"/>
                <w:sz w:val="18"/>
                <w:szCs w:val="18"/>
                <w:lang w:eastAsia="en-GB"/>
              </w:rPr>
              <w:t>+5,3</w:t>
            </w:r>
          </w:p>
        </w:tc>
        <w:tc>
          <w:tcPr>
            <w:tcW w:w="1153" w:type="dxa"/>
            <w:tcBorders>
              <w:top w:val="single" w:sz="4" w:space="0" w:color="auto"/>
              <w:left w:val="nil"/>
              <w:bottom w:val="single" w:sz="4" w:space="0" w:color="auto"/>
              <w:right w:val="nil"/>
            </w:tcBorders>
            <w:shd w:val="clear" w:color="auto" w:fill="FFFFFF"/>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107,8</w:t>
            </w:r>
          </w:p>
        </w:tc>
        <w:tc>
          <w:tcPr>
            <w:tcW w:w="1290" w:type="dxa"/>
            <w:tcBorders>
              <w:top w:val="single" w:sz="4" w:space="0" w:color="auto"/>
              <w:left w:val="nil"/>
              <w:bottom w:val="single" w:sz="4" w:space="0" w:color="auto"/>
              <w:right w:val="nil"/>
            </w:tcBorders>
            <w:shd w:val="clear" w:color="auto" w:fill="D9D9D9"/>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0,0</w:t>
            </w:r>
          </w:p>
        </w:tc>
        <w:tc>
          <w:tcPr>
            <w:tcW w:w="1119" w:type="dxa"/>
            <w:tcBorders>
              <w:top w:val="single" w:sz="4" w:space="0" w:color="auto"/>
              <w:left w:val="nil"/>
              <w:bottom w:val="single" w:sz="4" w:space="0" w:color="auto"/>
              <w:right w:val="nil"/>
            </w:tcBorders>
            <w:shd w:val="clear" w:color="000000" w:fill="FFFFFF"/>
            <w:noWrap/>
            <w:vAlign w:val="center"/>
          </w:tcPr>
          <w:p w:rsidR="00E24113" w:rsidRPr="00E24113" w:rsidRDefault="00E24113" w:rsidP="00E24113">
            <w:pPr>
              <w:widowControl/>
              <w:overflowPunct/>
              <w:autoSpaceDE/>
              <w:autoSpaceDN/>
              <w:adjustRightInd/>
              <w:spacing w:before="0" w:after="0"/>
              <w:jc w:val="right"/>
              <w:rPr>
                <w:rFonts w:ascii="Arial Narrow" w:hAnsi="Arial Narrow"/>
                <w:color w:val="000000"/>
                <w:kern w:val="0"/>
                <w:sz w:val="18"/>
                <w:szCs w:val="18"/>
                <w:lang w:eastAsia="en-GB"/>
              </w:rPr>
            </w:pPr>
            <w:r w:rsidRPr="00E24113">
              <w:rPr>
                <w:rFonts w:ascii="Arial Narrow" w:hAnsi="Arial Narrow"/>
                <w:color w:val="000000"/>
                <w:kern w:val="0"/>
                <w:sz w:val="18"/>
                <w:szCs w:val="18"/>
                <w:lang w:eastAsia="en-GB"/>
              </w:rPr>
              <w:t>+5,1</w:t>
            </w:r>
          </w:p>
        </w:tc>
      </w:tr>
    </w:tbl>
    <w:p w:rsidR="00EA102B" w:rsidRPr="000830DA" w:rsidRDefault="00EA102B" w:rsidP="000830DA">
      <w:pPr>
        <w:widowControl/>
        <w:overflowPunct/>
        <w:autoSpaceDE/>
        <w:autoSpaceDN/>
        <w:adjustRightInd/>
        <w:spacing w:before="0" w:after="0"/>
        <w:jc w:val="right"/>
        <w:rPr>
          <w:rFonts w:ascii="Arial Narrow" w:hAnsi="Arial Narrow"/>
          <w:color w:val="000000"/>
          <w:kern w:val="0"/>
          <w:sz w:val="18"/>
          <w:szCs w:val="18"/>
          <w:lang w:eastAsia="en-GB"/>
        </w:rPr>
      </w:pPr>
    </w:p>
    <w:p w:rsidR="00187F03" w:rsidRDefault="00187F03"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Pr="00C8504B" w:rsidRDefault="007C11B8" w:rsidP="00D77C5C">
      <w:pPr>
        <w:pStyle w:val="Corpodeltesto2"/>
        <w:tabs>
          <w:tab w:val="left" w:pos="0"/>
          <w:tab w:val="left" w:pos="6300"/>
        </w:tabs>
        <w:spacing w:line="240" w:lineRule="auto"/>
        <w:jc w:val="both"/>
        <w:rPr>
          <w:rFonts w:ascii="Arial" w:hAnsi="Arial" w:cs="Arial"/>
          <w:iCs/>
          <w:kern w:val="28"/>
          <w:sz w:val="21"/>
          <w:szCs w:val="21"/>
        </w:rPr>
        <w:sectPr w:rsidR="007C11B8" w:rsidRPr="00C8504B" w:rsidSect="000161B7">
          <w:headerReference w:type="default" r:id="rId31"/>
          <w:pgSz w:w="11907" w:h="16840" w:code="9"/>
          <w:pgMar w:top="1537" w:right="851" w:bottom="680" w:left="851" w:header="567" w:footer="567" w:gutter="0"/>
          <w:cols w:space="720"/>
          <w:noEndnote/>
          <w:docGrid w:linePitch="272"/>
        </w:sectPr>
      </w:pPr>
    </w:p>
    <w:p w:rsidR="007D5F5F" w:rsidRDefault="007D5F5F" w:rsidP="007D5F5F">
      <w:pPr>
        <w:spacing w:before="0" w:after="120"/>
        <w:jc w:val="both"/>
        <w:rPr>
          <w:rFonts w:ascii="Arial" w:hAnsi="Arial" w:cs="Arial"/>
          <w:b/>
          <w:bCs/>
        </w:rPr>
      </w:pPr>
    </w:p>
    <w:p w:rsidR="005B7BD6" w:rsidRDefault="005B7BD6" w:rsidP="005B7BD6">
      <w:pPr>
        <w:spacing w:before="0" w:after="120"/>
        <w:jc w:val="both"/>
        <w:rPr>
          <w:rFonts w:ascii="Arial" w:hAnsi="Arial" w:cs="Arial"/>
          <w:b/>
          <w:bCs/>
        </w:rPr>
      </w:pPr>
      <w:r w:rsidRPr="000F531B">
        <w:rPr>
          <w:rFonts w:ascii="Arial" w:hAnsi="Arial" w:cs="Arial"/>
          <w:b/>
          <w:bCs/>
        </w:rPr>
        <w:t>Altri beni</w:t>
      </w:r>
      <w:r w:rsidRPr="000F531B">
        <w:rPr>
          <w:rFonts w:ascii="Arial" w:hAnsi="Arial" w:cs="Arial"/>
          <w:bCs/>
        </w:rPr>
        <w:t>:</w:t>
      </w:r>
      <w:r w:rsidRPr="000F531B">
        <w:rPr>
          <w:rFonts w:ascii="Arial" w:hAnsi="Arial" w:cs="Arial"/>
          <w:b/>
          <w:bCs/>
        </w:rPr>
        <w:t xml:space="preserve"> </w:t>
      </w:r>
      <w:r w:rsidRPr="000F531B">
        <w:rPr>
          <w:rFonts w:ascii="Arial" w:hAnsi="Arial" w:cs="Arial"/>
          <w:bCs/>
        </w:rPr>
        <w:t>comprendono i beni di consumo</w:t>
      </w:r>
    </w:p>
    <w:p w:rsidR="005B7BD6" w:rsidRPr="0052659F" w:rsidRDefault="005B7BD6" w:rsidP="005B7BD6">
      <w:pPr>
        <w:spacing w:before="0" w:after="120"/>
        <w:jc w:val="both"/>
        <w:rPr>
          <w:rFonts w:ascii="Arial" w:hAnsi="Arial" w:cs="Arial"/>
          <w:b/>
          <w:bCs/>
        </w:rPr>
      </w:pPr>
      <w:r w:rsidRPr="0052659F">
        <w:rPr>
          <w:rFonts w:ascii="Arial" w:hAnsi="Arial" w:cs="Arial"/>
          <w:b/>
          <w:bCs/>
        </w:rPr>
        <w:t>Altri beni</w:t>
      </w:r>
      <w:r w:rsidRPr="0052659F">
        <w:rPr>
          <w:rFonts w:ascii="Arial" w:hAnsi="Arial" w:cs="Arial"/>
          <w:bCs/>
        </w:rPr>
        <w:t>:</w:t>
      </w:r>
      <w:r w:rsidRPr="0052659F">
        <w:rPr>
          <w:rFonts w:ascii="Arial" w:hAnsi="Arial" w:cs="Arial"/>
          <w:b/>
          <w:bCs/>
        </w:rPr>
        <w:t xml:space="preserve"> </w:t>
      </w:r>
      <w:r w:rsidRPr="0052659F">
        <w:rPr>
          <w:rFonts w:ascii="Arial" w:hAnsi="Arial" w:cs="Arial"/>
          <w:bCs/>
        </w:rPr>
        <w:t>comprendono i beni di consumo ad esclusione dei beni alimentari, dei beni energetici e dei tabacchi.</w:t>
      </w:r>
    </w:p>
    <w:p w:rsidR="005B7BD6" w:rsidRPr="0052659F" w:rsidRDefault="005B7BD6" w:rsidP="005B7BD6">
      <w:pPr>
        <w:spacing w:before="0" w:after="120"/>
        <w:jc w:val="both"/>
        <w:rPr>
          <w:rFonts w:ascii="Arial" w:hAnsi="Arial" w:cs="Arial"/>
          <w:bCs/>
        </w:rPr>
      </w:pPr>
      <w:r w:rsidRPr="0052659F">
        <w:rPr>
          <w:rFonts w:ascii="Arial" w:hAnsi="Arial" w:cs="Arial"/>
          <w:b/>
          <w:bCs/>
        </w:rPr>
        <w:t>Altri beni regolamentati</w:t>
      </w:r>
      <w:r w:rsidRPr="0052659F">
        <w:rPr>
          <w:rFonts w:ascii="Arial" w:hAnsi="Arial" w:cs="Arial"/>
          <w:bCs/>
        </w:rPr>
        <w:t>: comprendono l’acqua potabile e i medicinali.</w:t>
      </w:r>
    </w:p>
    <w:p w:rsidR="005B7BD6" w:rsidRPr="000F531B" w:rsidRDefault="005B7BD6" w:rsidP="005B7BD6">
      <w:pPr>
        <w:spacing w:before="0" w:after="120"/>
        <w:jc w:val="both"/>
        <w:rPr>
          <w:rFonts w:ascii="Arial" w:hAnsi="Arial" w:cs="Arial"/>
          <w:bCs/>
        </w:rPr>
      </w:pPr>
      <w:r w:rsidRPr="0052659F">
        <w:rPr>
          <w:rFonts w:ascii="Arial" w:hAnsi="Arial" w:cs="Arial"/>
          <w:b/>
          <w:bCs/>
        </w:rPr>
        <w:t>Beni alimentari</w:t>
      </w:r>
      <w:r w:rsidRPr="0052659F">
        <w:rPr>
          <w:rFonts w:ascii="Arial" w:hAnsi="Arial" w:cs="Arial"/>
          <w:bCs/>
        </w:rPr>
        <w:t>: comprendono oltre ai generi alimentari (come, ad esempio, il pane, la carne, i formaggi), le bevande</w:t>
      </w:r>
      <w:r w:rsidRPr="000F531B">
        <w:rPr>
          <w:rFonts w:ascii="Arial" w:hAnsi="Arial" w:cs="Arial"/>
          <w:bCs/>
        </w:rPr>
        <w:t xml:space="preserve"> analcoliche e quelle alcoliche.</w:t>
      </w:r>
    </w:p>
    <w:p w:rsidR="005B7BD6" w:rsidRPr="000F531B" w:rsidRDefault="005B7BD6" w:rsidP="005B7BD6">
      <w:pPr>
        <w:spacing w:before="0" w:after="120"/>
        <w:jc w:val="both"/>
        <w:rPr>
          <w:rFonts w:ascii="Arial" w:hAnsi="Arial" w:cs="Arial"/>
          <w:bCs/>
        </w:rPr>
      </w:pPr>
      <w:r w:rsidRPr="000F531B">
        <w:rPr>
          <w:rFonts w:ascii="Arial" w:hAnsi="Arial" w:cs="Arial"/>
          <w:bCs/>
        </w:rPr>
        <w:t xml:space="preserve">Si definiscono </w:t>
      </w:r>
      <w:r w:rsidRPr="000F531B">
        <w:rPr>
          <w:rFonts w:ascii="Arial" w:hAnsi="Arial" w:cs="Arial"/>
          <w:bCs/>
          <w:i/>
        </w:rPr>
        <w:t>lavorati</w:t>
      </w:r>
      <w:r w:rsidRPr="000F531B">
        <w:rPr>
          <w:rFonts w:ascii="Arial" w:hAnsi="Arial" w:cs="Arial"/>
          <w:bCs/>
        </w:rPr>
        <w:t xml:space="preserve"> i beni alimentari destinati al consumo finale che sono il risultato di un processo di trasformazione industriale (come</w:t>
      </w:r>
      <w:r>
        <w:rPr>
          <w:rFonts w:ascii="Arial" w:hAnsi="Arial" w:cs="Arial"/>
          <w:bCs/>
        </w:rPr>
        <w:t>,</w:t>
      </w:r>
      <w:r w:rsidRPr="000F531B">
        <w:rPr>
          <w:rFonts w:ascii="Arial" w:hAnsi="Arial" w:cs="Arial"/>
          <w:bCs/>
        </w:rPr>
        <w:t xml:space="preserve"> ad esempio</w:t>
      </w:r>
      <w:r>
        <w:rPr>
          <w:rFonts w:ascii="Arial" w:hAnsi="Arial" w:cs="Arial"/>
          <w:bCs/>
        </w:rPr>
        <w:t>,</w:t>
      </w:r>
      <w:r w:rsidRPr="000F531B">
        <w:rPr>
          <w:rFonts w:ascii="Arial" w:hAnsi="Arial" w:cs="Arial"/>
          <w:bCs/>
        </w:rPr>
        <w:t xml:space="preserve"> i succhi di frutta, gli insaccati, i prodotti surgelati). Si dicono </w:t>
      </w:r>
      <w:r w:rsidRPr="000F531B">
        <w:rPr>
          <w:rFonts w:ascii="Arial" w:hAnsi="Arial" w:cs="Arial"/>
          <w:bCs/>
          <w:i/>
        </w:rPr>
        <w:t>non lavorati</w:t>
      </w:r>
      <w:r w:rsidRPr="000F531B">
        <w:rPr>
          <w:rFonts w:ascii="Arial" w:hAnsi="Arial" w:cs="Arial"/>
          <w:bCs/>
        </w:rPr>
        <w:t xml:space="preserve"> i beni alimentari non trasformati (come la carne fresca, il pesce fresco, la frutta e la verdura fresca).</w:t>
      </w:r>
    </w:p>
    <w:p w:rsidR="005B7BD6" w:rsidRPr="000F531B" w:rsidRDefault="005B7BD6" w:rsidP="005B7BD6">
      <w:pPr>
        <w:spacing w:before="0" w:after="120"/>
        <w:jc w:val="both"/>
        <w:rPr>
          <w:rFonts w:ascii="Arial" w:hAnsi="Arial" w:cs="Arial"/>
          <w:bCs/>
        </w:rPr>
      </w:pPr>
      <w:r w:rsidRPr="000F531B">
        <w:rPr>
          <w:rFonts w:ascii="Arial" w:hAnsi="Arial" w:cs="Arial"/>
          <w:b/>
          <w:bCs/>
        </w:rPr>
        <w:t>Beni alimentari, per la cura della casa e della persona</w:t>
      </w:r>
      <w:r w:rsidRPr="000F531B">
        <w:rPr>
          <w:rFonts w:ascii="Arial" w:hAnsi="Arial" w:cs="Arial"/>
          <w:bCs/>
        </w:rPr>
        <w:t>: includono, oltre ai beni alimentari, i beni per la pulizia e la manutenzione ordinaria della casa e i beni per l’igiene personale e pr</w:t>
      </w:r>
      <w:r>
        <w:rPr>
          <w:rFonts w:ascii="Arial" w:hAnsi="Arial" w:cs="Arial"/>
          <w:bCs/>
        </w:rPr>
        <w:t>odotti di bellezza.</w:t>
      </w:r>
    </w:p>
    <w:p w:rsidR="005B7BD6" w:rsidRPr="000F531B" w:rsidRDefault="005B7BD6" w:rsidP="005B7BD6">
      <w:pPr>
        <w:spacing w:before="0" w:after="120"/>
        <w:jc w:val="both"/>
        <w:rPr>
          <w:rFonts w:ascii="Arial" w:hAnsi="Arial" w:cs="Arial"/>
          <w:b/>
          <w:bCs/>
        </w:rPr>
      </w:pPr>
      <w:r w:rsidRPr="000F531B">
        <w:rPr>
          <w:rFonts w:ascii="Arial" w:hAnsi="Arial" w:cs="Arial"/>
          <w:b/>
          <w:bCs/>
        </w:rPr>
        <w:t>Beni durevoli</w:t>
      </w:r>
      <w:r w:rsidRPr="000F531B">
        <w:rPr>
          <w:rFonts w:ascii="Arial" w:hAnsi="Arial" w:cs="Arial"/>
          <w:bCs/>
        </w:rPr>
        <w:t>: includono le autovetture, gli articoli di arredamento, gli elettrodomestici.</w:t>
      </w:r>
    </w:p>
    <w:p w:rsidR="005B7BD6" w:rsidRPr="000F531B" w:rsidRDefault="005B7BD6" w:rsidP="005B7BD6">
      <w:pPr>
        <w:spacing w:before="0" w:after="120"/>
        <w:jc w:val="both"/>
        <w:rPr>
          <w:rFonts w:ascii="Arial" w:hAnsi="Arial" w:cs="Arial"/>
          <w:b/>
          <w:bCs/>
        </w:rPr>
      </w:pPr>
      <w:r w:rsidRPr="000F531B">
        <w:rPr>
          <w:rFonts w:ascii="Arial" w:hAnsi="Arial" w:cs="Arial"/>
          <w:b/>
          <w:bCs/>
        </w:rPr>
        <w:t>Beni non durevoli</w:t>
      </w:r>
      <w:r w:rsidRPr="000F531B">
        <w:rPr>
          <w:rFonts w:ascii="Arial" w:hAnsi="Arial" w:cs="Arial"/>
          <w:bCs/>
        </w:rPr>
        <w:t>: comprendono i detergenti per la pulizia della casa, i prodotti per la cura della persona, i medicinali.</w:t>
      </w:r>
    </w:p>
    <w:p w:rsidR="005B7BD6" w:rsidRPr="000F531B" w:rsidRDefault="005B7BD6" w:rsidP="005B7BD6">
      <w:pPr>
        <w:spacing w:before="0" w:after="120"/>
        <w:jc w:val="both"/>
        <w:rPr>
          <w:rFonts w:ascii="Arial" w:hAnsi="Arial" w:cs="Arial"/>
          <w:b/>
          <w:bCs/>
        </w:rPr>
      </w:pPr>
      <w:r w:rsidRPr="000F531B">
        <w:rPr>
          <w:rFonts w:ascii="Arial" w:hAnsi="Arial" w:cs="Arial"/>
          <w:b/>
          <w:bCs/>
        </w:rPr>
        <w:t>Beni semidurevoli</w:t>
      </w:r>
      <w:r w:rsidRPr="000F531B">
        <w:rPr>
          <w:rFonts w:ascii="Arial" w:hAnsi="Arial" w:cs="Arial"/>
          <w:bCs/>
        </w:rPr>
        <w:t>: comprendono i capi di abbigliamento, le calzature, i libri.</w:t>
      </w:r>
      <w:r w:rsidRPr="000F531B">
        <w:rPr>
          <w:rFonts w:ascii="Arial" w:hAnsi="Arial" w:cs="Arial"/>
          <w:b/>
          <w:bCs/>
        </w:rPr>
        <w:t xml:space="preserve"> </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regolamentati</w:t>
      </w:r>
      <w:r w:rsidRPr="000F531B">
        <w:rPr>
          <w:rFonts w:ascii="Arial" w:hAnsi="Arial" w:cs="Arial"/>
          <w:bCs/>
        </w:rPr>
        <w:t xml:space="preserve">: includono le tariffe per l’energia elettrica </w:t>
      </w:r>
      <w:r>
        <w:rPr>
          <w:rFonts w:ascii="Arial" w:hAnsi="Arial" w:cs="Arial"/>
          <w:bCs/>
        </w:rPr>
        <w:t xml:space="preserve">mercato tutelato </w:t>
      </w:r>
      <w:r w:rsidRPr="000F531B">
        <w:rPr>
          <w:rFonts w:ascii="Arial" w:hAnsi="Arial" w:cs="Arial"/>
          <w:bCs/>
        </w:rPr>
        <w:t>e il gas di rete per uso domestico.</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non regolamentati</w:t>
      </w:r>
      <w:r w:rsidRPr="000F531B">
        <w:rPr>
          <w:rFonts w:ascii="Arial" w:hAnsi="Arial" w:cs="Arial"/>
          <w:bCs/>
        </w:rPr>
        <w:t>: comprendono i carburanti per g</w:t>
      </w:r>
      <w:r>
        <w:rPr>
          <w:rFonts w:ascii="Arial" w:hAnsi="Arial" w:cs="Arial"/>
          <w:bCs/>
        </w:rPr>
        <w:t>li autoveicoli, i lubrificanti,</w:t>
      </w:r>
      <w:r w:rsidRPr="000F531B">
        <w:rPr>
          <w:rFonts w:ascii="Arial" w:hAnsi="Arial" w:cs="Arial"/>
          <w:bCs/>
        </w:rPr>
        <w:t xml:space="preserve"> i combustibili per u</w:t>
      </w:r>
      <w:r>
        <w:rPr>
          <w:rFonts w:ascii="Arial" w:hAnsi="Arial" w:cs="Arial"/>
          <w:bCs/>
        </w:rPr>
        <w:t xml:space="preserve">so domestico non regolamentati </w:t>
      </w:r>
      <w:r w:rsidRPr="000F531B">
        <w:rPr>
          <w:rFonts w:ascii="Arial" w:hAnsi="Arial" w:cs="Arial"/>
          <w:bCs/>
        </w:rPr>
        <w:t xml:space="preserve">e l’energia elettrica </w:t>
      </w:r>
      <w:r>
        <w:rPr>
          <w:rFonts w:ascii="Arial" w:hAnsi="Arial" w:cs="Arial"/>
          <w:bCs/>
        </w:rPr>
        <w:t>mercato libero.</w:t>
      </w:r>
    </w:p>
    <w:p w:rsidR="005B7BD6" w:rsidRPr="000F531B" w:rsidRDefault="005B7BD6" w:rsidP="005B7BD6">
      <w:pPr>
        <w:spacing w:before="0" w:after="120"/>
        <w:jc w:val="both"/>
        <w:rPr>
          <w:rFonts w:ascii="Arial" w:hAnsi="Arial" w:cs="Arial"/>
          <w:bCs/>
        </w:rPr>
      </w:pPr>
      <w:r w:rsidRPr="000F531B">
        <w:rPr>
          <w:rFonts w:ascii="Arial" w:hAnsi="Arial" w:cs="Arial"/>
          <w:b/>
          <w:bCs/>
        </w:rPr>
        <w:t>Beni regolamentati</w:t>
      </w:r>
      <w:r w:rsidRPr="000F531B">
        <w:rPr>
          <w:rFonts w:ascii="Arial" w:hAnsi="Arial" w:cs="Arial"/>
          <w:bCs/>
        </w:rPr>
        <w:t>: includono i beni energetici regolamentati e gli altri beni regolamentati.</w:t>
      </w:r>
    </w:p>
    <w:p w:rsidR="005B7BD6" w:rsidRPr="000F531B" w:rsidRDefault="005B7BD6" w:rsidP="005B7BD6">
      <w:pPr>
        <w:spacing w:before="0" w:after="120"/>
        <w:jc w:val="both"/>
        <w:rPr>
          <w:rFonts w:ascii="Arial" w:hAnsi="Arial" w:cs="Arial"/>
          <w:bCs/>
        </w:rPr>
      </w:pPr>
      <w:r w:rsidRPr="000F531B">
        <w:rPr>
          <w:rFonts w:ascii="Arial" w:hAnsi="Arial" w:cs="Arial"/>
          <w:b/>
          <w:bCs/>
        </w:rPr>
        <w:t>COICOP</w:t>
      </w:r>
      <w:r w:rsidRPr="000F531B">
        <w:rPr>
          <w:rFonts w:ascii="Arial" w:hAnsi="Arial" w:cs="Arial"/>
          <w:bCs/>
        </w:rPr>
        <w:t>: classificazione dei consumi individuali secondo l’utilizzo finale</w:t>
      </w:r>
      <w:r>
        <w:rPr>
          <w:rFonts w:ascii="Arial" w:hAnsi="Arial" w:cs="Arial"/>
          <w:bCs/>
        </w:rPr>
        <w:t>.</w:t>
      </w:r>
    </w:p>
    <w:p w:rsidR="005B7BD6" w:rsidRPr="000F531B" w:rsidRDefault="005B7BD6" w:rsidP="005B7BD6">
      <w:pPr>
        <w:spacing w:before="0" w:after="120"/>
        <w:jc w:val="both"/>
        <w:rPr>
          <w:rFonts w:ascii="Arial" w:hAnsi="Arial" w:cs="Arial"/>
        </w:rPr>
      </w:pPr>
      <w:r w:rsidRPr="000F531B">
        <w:rPr>
          <w:rFonts w:ascii="Arial" w:hAnsi="Arial" w:cs="Arial"/>
          <w:b/>
        </w:rPr>
        <w:t>Componente di fondo</w:t>
      </w:r>
      <w:r w:rsidRPr="000F531B">
        <w:rPr>
          <w:rFonts w:ascii="Arial" w:hAnsi="Arial" w:cs="Arial"/>
        </w:rPr>
        <w:t xml:space="preserve">: viene calcolata escludendo i beni alimentari non lavorati e i beni energetici. </w:t>
      </w:r>
    </w:p>
    <w:p w:rsidR="005B7BD6" w:rsidRPr="000F531B" w:rsidRDefault="005B7BD6" w:rsidP="005B7BD6">
      <w:pPr>
        <w:spacing w:before="0" w:after="120"/>
        <w:jc w:val="both"/>
        <w:rPr>
          <w:rFonts w:ascii="Arial" w:hAnsi="Arial" w:cs="Arial"/>
          <w:bCs/>
        </w:rPr>
      </w:pPr>
      <w:r w:rsidRPr="000F531B">
        <w:rPr>
          <w:rFonts w:ascii="Arial" w:hAnsi="Arial" w:cs="Arial"/>
          <w:b/>
          <w:bCs/>
        </w:rPr>
        <w:t>Contributo alla variazione tendenziale dell’indice generale</w:t>
      </w:r>
      <w:r w:rsidRPr="000F531B">
        <w:rPr>
          <w:rFonts w:ascii="Arial" w:hAnsi="Arial" w:cs="Arial"/>
          <w:bCs/>
        </w:rPr>
        <w:t>: permette di valutare l’incidenza delle variazioni di prezzo delle singole componenti sull’aumento o sulla diminuzione dell’indice aggregato. A tal fine, il tasso di variazione tendenziale dell’indice generale viene scomposto nella somma degli effetti attribuibili a ciascuna delle variazioni delle sue componenti. Poiché si tratta di un indice concatenato, il contributo della componente i-esima alla variazione dell’indice generale è funzione della dinamica di prezzo di tale componente e della modifica del suo peso relativo nei due anni a confronto. I contributi alla variazione tendenziale dell’indice generale sono calcolati a partire dagli indici elementari di prezzo dei prodotti del paniere di riferimento. Per effetto degli arrotondamenti, la loro somma può differire dalla variazione dell’indice generale.</w:t>
      </w:r>
    </w:p>
    <w:p w:rsidR="005B7BD6" w:rsidRPr="000F531B" w:rsidRDefault="009B29AB" w:rsidP="005B7BD6">
      <w:pPr>
        <w:spacing w:before="0" w:after="120"/>
        <w:jc w:val="both"/>
        <w:rPr>
          <w:rFonts w:ascii="Arial" w:hAnsi="Arial" w:cs="Arial"/>
          <w:b/>
          <w:bCs/>
        </w:rPr>
      </w:pPr>
      <w:hyperlink r:id="rId32" w:history="1">
        <w:r w:rsidR="005B7BD6" w:rsidRPr="00C55AE4">
          <w:rPr>
            <w:rStyle w:val="Collegamentoipertestuale"/>
            <w:rFonts w:ascii="Arial" w:hAnsi="Arial" w:cs="Arial"/>
            <w:b/>
            <w:bCs/>
          </w:rPr>
          <w:t>ECOICOP</w:t>
        </w:r>
      </w:hyperlink>
      <w:r w:rsidR="005B7BD6">
        <w:rPr>
          <w:rFonts w:ascii="Arial" w:hAnsi="Arial" w:cs="Arial"/>
          <w:bCs/>
        </w:rPr>
        <w:t xml:space="preserve">: </w:t>
      </w:r>
      <w:r w:rsidR="005B7BD6" w:rsidRPr="000F531B">
        <w:rPr>
          <w:rFonts w:ascii="Arial" w:hAnsi="Arial" w:cs="Arial"/>
          <w:bCs/>
        </w:rPr>
        <w:t>classificazione europea dei consumi individuali secondo l’utilizzo finale</w:t>
      </w:r>
      <w:r w:rsidR="005B7BD6" w:rsidRPr="00C55AE4">
        <w:rPr>
          <w:rFonts w:ascii="Arial" w:hAnsi="Arial" w:cs="Arial"/>
          <w:bCs/>
        </w:rPr>
        <w:t>, che prevede un livello di dettaglio (le sottoclassi) maggiore rispetto alla COICOP.</w:t>
      </w:r>
    </w:p>
    <w:p w:rsidR="005B7BD6" w:rsidRDefault="005B7BD6" w:rsidP="005B7BD6">
      <w:pPr>
        <w:spacing w:before="0" w:after="120"/>
        <w:jc w:val="both"/>
        <w:rPr>
          <w:rFonts w:ascii="Arial" w:hAnsi="Arial" w:cs="Arial"/>
          <w:bCs/>
        </w:rPr>
      </w:pPr>
      <w:r w:rsidRPr="000F531B">
        <w:rPr>
          <w:rFonts w:ascii="Arial" w:hAnsi="Arial" w:cs="Arial"/>
          <w:b/>
          <w:bCs/>
        </w:rPr>
        <w:t>FOI</w:t>
      </w:r>
      <w:r w:rsidRPr="000F531B">
        <w:rPr>
          <w:rFonts w:ascii="Arial" w:hAnsi="Arial" w:cs="Arial"/>
          <w:bCs/>
        </w:rPr>
        <w:t>: indice nazionale dei prezzi al consumo per le famiglie di operai e impiegati.</w:t>
      </w:r>
    </w:p>
    <w:p w:rsidR="005B7BD6" w:rsidRDefault="005B7BD6" w:rsidP="005B7BD6">
      <w:pPr>
        <w:spacing w:before="0" w:after="120"/>
        <w:jc w:val="both"/>
        <w:rPr>
          <w:rFonts w:ascii="Arial" w:hAnsi="Arial" w:cs="Arial"/>
          <w:bCs/>
        </w:rPr>
      </w:pPr>
      <w:r w:rsidRPr="00C96343">
        <w:rPr>
          <w:rFonts w:ascii="Arial" w:hAnsi="Arial" w:cs="Arial"/>
          <w:b/>
          <w:bCs/>
        </w:rPr>
        <w:t>Inflazione</w:t>
      </w:r>
      <w:r w:rsidRPr="00C96343">
        <w:rPr>
          <w:rFonts w:ascii="Arial" w:hAnsi="Arial" w:cs="Arial"/>
          <w:bCs/>
        </w:rPr>
        <w:t>: misura le variazioni nel tempo dei prezzi di un insieme di prodotti (paniere) rappresentativo di tutti i beni e servizi destinati al consumo finale delle famiglie, acquistabili sul mercato attraverso transazioni monetarie.</w:t>
      </w:r>
    </w:p>
    <w:p w:rsidR="005B7BD6" w:rsidRPr="000F531B" w:rsidRDefault="005B7BD6" w:rsidP="005B7BD6">
      <w:pPr>
        <w:spacing w:before="0" w:after="120"/>
        <w:jc w:val="both"/>
        <w:rPr>
          <w:rFonts w:ascii="Arial" w:hAnsi="Arial" w:cs="Arial"/>
          <w:bCs/>
        </w:rPr>
      </w:pPr>
      <w:r w:rsidRPr="000F531B">
        <w:rPr>
          <w:rFonts w:ascii="Arial" w:hAnsi="Arial" w:cs="Arial"/>
          <w:b/>
          <w:bCs/>
        </w:rPr>
        <w:t>Inflazione acquisita</w:t>
      </w:r>
      <w:r w:rsidRPr="000F531B">
        <w:rPr>
          <w:rFonts w:ascii="Arial" w:hAnsi="Arial" w:cs="Arial"/>
          <w:bCs/>
        </w:rPr>
        <w:t xml:space="preserve">: rappresenta la variazione media dell’indice nell’anno indicato, che si avrebbe ipotizzando che l’indice stesso rimanga al medesimo livello dell’ultimo dato mensile disponibile nella restante parte dell’anno. </w:t>
      </w:r>
    </w:p>
    <w:p w:rsidR="005B7BD6" w:rsidRPr="000F531B" w:rsidRDefault="005B7BD6" w:rsidP="005B7BD6">
      <w:pPr>
        <w:spacing w:before="0" w:after="120"/>
        <w:jc w:val="both"/>
        <w:rPr>
          <w:rFonts w:ascii="Arial" w:hAnsi="Arial" w:cs="Arial"/>
          <w:bCs/>
        </w:rPr>
      </w:pPr>
      <w:r w:rsidRPr="000F531B">
        <w:rPr>
          <w:rFonts w:ascii="Arial" w:hAnsi="Arial" w:cs="Arial"/>
          <w:b/>
          <w:bCs/>
        </w:rPr>
        <w:t>IPCA</w:t>
      </w:r>
      <w:r w:rsidRPr="000F531B">
        <w:rPr>
          <w:rFonts w:ascii="Arial" w:hAnsi="Arial" w:cs="Arial"/>
          <w:bCs/>
        </w:rPr>
        <w:t>: indice armonizzato dei prezzi al consumo per i Paesi dell’Unione europea.</w:t>
      </w:r>
    </w:p>
    <w:p w:rsidR="005B7BD6" w:rsidRPr="000F531B" w:rsidRDefault="005B7BD6" w:rsidP="005B7BD6">
      <w:pPr>
        <w:spacing w:before="0" w:after="120"/>
        <w:jc w:val="both"/>
        <w:rPr>
          <w:rFonts w:ascii="Arial" w:hAnsi="Arial" w:cs="Arial"/>
          <w:bCs/>
        </w:rPr>
      </w:pPr>
      <w:r w:rsidRPr="000F531B">
        <w:rPr>
          <w:rFonts w:ascii="Arial" w:hAnsi="Arial" w:cs="Arial"/>
          <w:b/>
          <w:bCs/>
        </w:rPr>
        <w:t>IPCA-AS</w:t>
      </w:r>
      <w:r w:rsidRPr="000F531B">
        <w:rPr>
          <w:rFonts w:ascii="Arial" w:hAnsi="Arial" w:cs="Arial"/>
          <w:bCs/>
        </w:rPr>
        <w:t>: indici armonizzati dei prezzi al consumo per aggregati speciali</w:t>
      </w:r>
      <w:r>
        <w:rPr>
          <w:rFonts w:ascii="Arial" w:hAnsi="Arial" w:cs="Arial"/>
          <w:bCs/>
        </w:rPr>
        <w:t xml:space="preserve"> s</w:t>
      </w:r>
      <w:r w:rsidRPr="000F531B">
        <w:rPr>
          <w:rFonts w:ascii="Arial" w:hAnsi="Arial" w:cs="Arial"/>
          <w:bCs/>
        </w:rPr>
        <w:t xml:space="preserve">ono indicatori costruiti secondo uno schema classificatorio </w:t>
      </w:r>
      <w:r>
        <w:rPr>
          <w:rFonts w:ascii="Arial" w:hAnsi="Arial" w:cs="Arial"/>
          <w:bCs/>
        </w:rPr>
        <w:t>diverso</w:t>
      </w:r>
      <w:r w:rsidRPr="000F531B">
        <w:rPr>
          <w:rFonts w:ascii="Arial" w:hAnsi="Arial" w:cs="Arial"/>
          <w:bCs/>
        </w:rPr>
        <w:t xml:space="preserve"> </w:t>
      </w:r>
      <w:r>
        <w:rPr>
          <w:rFonts w:ascii="Arial" w:hAnsi="Arial" w:cs="Arial"/>
          <w:bCs/>
        </w:rPr>
        <w:t>d</w:t>
      </w:r>
      <w:r w:rsidRPr="000F531B">
        <w:rPr>
          <w:rFonts w:ascii="Arial" w:hAnsi="Arial" w:cs="Arial"/>
          <w:bCs/>
        </w:rPr>
        <w:t>alla ECOICOP-IPCA e da quello utilizzato per gli indici NIC per tipologia di prodotto. L</w:t>
      </w:r>
      <w:r>
        <w:rPr>
          <w:rFonts w:ascii="Arial" w:hAnsi="Arial" w:cs="Arial"/>
          <w:bCs/>
        </w:rPr>
        <w:t>a struttura</w:t>
      </w:r>
      <w:r w:rsidRPr="000F531B">
        <w:rPr>
          <w:rFonts w:ascii="Arial" w:hAnsi="Arial" w:cs="Arial"/>
          <w:bCs/>
        </w:rPr>
        <w:t xml:space="preserve"> di classificazione </w:t>
      </w:r>
      <w:r>
        <w:rPr>
          <w:rFonts w:ascii="Arial" w:hAnsi="Arial" w:cs="Arial"/>
          <w:bCs/>
        </w:rPr>
        <w:t>e le procedure</w:t>
      </w:r>
      <w:r w:rsidRPr="000F531B">
        <w:rPr>
          <w:rFonts w:ascii="Arial" w:hAnsi="Arial" w:cs="Arial"/>
          <w:bCs/>
        </w:rPr>
        <w:t xml:space="preserve"> di calcolo sono comuni a quell</w:t>
      </w:r>
      <w:r>
        <w:rPr>
          <w:rFonts w:ascii="Arial" w:hAnsi="Arial" w:cs="Arial"/>
          <w:bCs/>
        </w:rPr>
        <w:t>e</w:t>
      </w:r>
      <w:r w:rsidRPr="000F531B">
        <w:rPr>
          <w:rFonts w:ascii="Arial" w:hAnsi="Arial" w:cs="Arial"/>
          <w:bCs/>
        </w:rPr>
        <w:t xml:space="preserve"> </w:t>
      </w:r>
      <w:r w:rsidRPr="000F531B">
        <w:rPr>
          <w:rFonts w:ascii="Arial" w:hAnsi="Arial" w:cs="Arial"/>
        </w:rPr>
        <w:t>utilizzat</w:t>
      </w:r>
      <w:r>
        <w:rPr>
          <w:rFonts w:ascii="Arial" w:hAnsi="Arial" w:cs="Arial"/>
        </w:rPr>
        <w:t>e</w:t>
      </w:r>
      <w:r w:rsidRPr="000F531B">
        <w:rPr>
          <w:rFonts w:ascii="Arial" w:hAnsi="Arial" w:cs="Arial"/>
        </w:rPr>
        <w:t xml:space="preserve"> da Eurostat</w:t>
      </w:r>
      <w:r>
        <w:rPr>
          <w:rFonts w:ascii="Arial" w:hAnsi="Arial" w:cs="Arial"/>
        </w:rPr>
        <w:t xml:space="preserve"> e ne condividono le innovazioni di carattere metodologico</w:t>
      </w:r>
      <w:r w:rsidRPr="000F531B">
        <w:rPr>
          <w:rFonts w:ascii="Arial" w:hAnsi="Arial" w:cs="Arial"/>
        </w:rPr>
        <w:t>.</w:t>
      </w:r>
      <w:r>
        <w:rPr>
          <w:rFonts w:ascii="Arial" w:hAnsi="Arial" w:cs="Arial"/>
        </w:rPr>
        <w:t xml:space="preserve"> In particolare, dalla diffusione degli indici definitivi di gennaio 2019 cambia il metodo di calcolo degli aggregati speciali dell’IPCA che sono ottenuti aggregando gli indici delle sottoclassi della ECOICOP (in precedenza, per il computo di questi indicatori erano utilizzati gli indici delle classi).</w:t>
      </w:r>
      <w:r w:rsidRPr="000F531B">
        <w:rPr>
          <w:rFonts w:ascii="Arial" w:hAnsi="Arial" w:cs="Arial"/>
          <w:bCs/>
        </w:rPr>
        <w:t xml:space="preserve"> </w:t>
      </w:r>
      <w:r>
        <w:rPr>
          <w:rFonts w:ascii="Arial" w:hAnsi="Arial" w:cs="Arial"/>
          <w:bCs/>
        </w:rPr>
        <w:t>Per una migliore fruibilità dei nuovi indicatori, le serie degli aggregati speciali, secondo il nuovo schema, sono state ricostruite per il periodo gennaio 2017 - dicembre 2018 e sostituiscono, per l’intervallo temporale in questione, quelle precedentemente diffuse, basate sulla vecchia metodologia di calcolo</w:t>
      </w:r>
      <w:r w:rsidRPr="000F531B">
        <w:rPr>
          <w:rFonts w:ascii="Arial" w:hAnsi="Arial" w:cs="Arial"/>
        </w:rPr>
        <w:t>.</w:t>
      </w:r>
      <w:r w:rsidRPr="000F531B">
        <w:rPr>
          <w:rFonts w:ascii="Arial" w:hAnsi="Arial" w:cs="Arial"/>
          <w:bCs/>
        </w:rPr>
        <w:t xml:space="preserve"> </w:t>
      </w:r>
    </w:p>
    <w:p w:rsidR="005B7BD6" w:rsidRPr="000F531B" w:rsidRDefault="005B7BD6" w:rsidP="005B7BD6">
      <w:pPr>
        <w:spacing w:before="0" w:after="120"/>
        <w:jc w:val="both"/>
        <w:rPr>
          <w:rFonts w:ascii="Arial" w:hAnsi="Arial" w:cs="Arial"/>
          <w:bCs/>
        </w:rPr>
      </w:pPr>
      <w:r w:rsidRPr="000F531B">
        <w:rPr>
          <w:rFonts w:ascii="Arial" w:hAnsi="Arial" w:cs="Arial"/>
          <w:b/>
          <w:bCs/>
        </w:rPr>
        <w:t>IPCA-TC</w:t>
      </w:r>
      <w:r w:rsidRPr="000F531B">
        <w:rPr>
          <w:rFonts w:ascii="Arial" w:hAnsi="Arial" w:cs="Arial"/>
          <w:bCs/>
        </w:rPr>
        <w:t>: indice armonizzato dei prezzi al consumo a tassazione costante per i Paesi dell’Unione europea.</w:t>
      </w:r>
    </w:p>
    <w:p w:rsidR="005B7BD6" w:rsidRPr="000F531B" w:rsidRDefault="005B7BD6" w:rsidP="005B7BD6">
      <w:pPr>
        <w:spacing w:before="0" w:after="120"/>
        <w:jc w:val="both"/>
        <w:rPr>
          <w:rFonts w:ascii="Arial" w:hAnsi="Arial" w:cs="Arial"/>
        </w:rPr>
      </w:pPr>
      <w:r w:rsidRPr="000F531B">
        <w:rPr>
          <w:rFonts w:ascii="Arial" w:hAnsi="Arial" w:cs="Arial"/>
          <w:b/>
        </w:rPr>
        <w:t>NIC</w:t>
      </w:r>
      <w:r w:rsidRPr="000F531B">
        <w:rPr>
          <w:rFonts w:ascii="Arial" w:hAnsi="Arial" w:cs="Arial"/>
        </w:rPr>
        <w:t>: indice nazionale dei prezzi al consumo per l’intera collettività.</w:t>
      </w:r>
    </w:p>
    <w:p w:rsidR="005B7BD6" w:rsidRDefault="005B7BD6" w:rsidP="005B7BD6">
      <w:pPr>
        <w:widowControl/>
        <w:overflowPunct/>
        <w:autoSpaceDE/>
        <w:adjustRightInd/>
        <w:spacing w:before="0" w:after="120"/>
        <w:jc w:val="both"/>
        <w:rPr>
          <w:rFonts w:ascii="Arial" w:hAnsi="Arial" w:cs="Arial"/>
          <w:b/>
        </w:rPr>
      </w:pPr>
    </w:p>
    <w:p w:rsidR="005B7BD6" w:rsidRPr="000F531B" w:rsidRDefault="005B7BD6" w:rsidP="005B7BD6">
      <w:pPr>
        <w:widowControl/>
        <w:overflowPunct/>
        <w:autoSpaceDE/>
        <w:adjustRightInd/>
        <w:spacing w:before="0" w:after="120"/>
        <w:jc w:val="both"/>
        <w:rPr>
          <w:rFonts w:ascii="Arial" w:hAnsi="Arial" w:cs="Arial"/>
        </w:rPr>
      </w:pPr>
      <w:r w:rsidRPr="000F531B">
        <w:rPr>
          <w:rFonts w:ascii="Arial" w:hAnsi="Arial" w:cs="Arial"/>
          <w:b/>
        </w:rPr>
        <w:t>Prodotti ad alta frequenza di acquisto</w:t>
      </w:r>
      <w:r w:rsidRPr="000F531B">
        <w:rPr>
          <w:rFonts w:ascii="Arial" w:hAnsi="Arial" w:cs="Arial"/>
        </w:rPr>
        <w:t>: includono, oltre ai generi alimentari, le bevande alcoliche e analcoliche, i tabacchi, le spese per l’affitto, i beni non durevoli per la casa, i servizi per la pulizia e manutenzione della casa, i carburanti, i trasporti urbani, i giornali e i periodici, i servizi di ristorazione, le spese di assistenza.</w:t>
      </w:r>
    </w:p>
    <w:p w:rsidR="005B7BD6" w:rsidRPr="000F531B" w:rsidRDefault="005B7BD6" w:rsidP="005B7BD6">
      <w:pPr>
        <w:spacing w:before="0" w:after="120"/>
        <w:ind w:right="38"/>
        <w:jc w:val="both"/>
        <w:rPr>
          <w:rFonts w:ascii="Arial" w:hAnsi="Arial" w:cs="Arial"/>
        </w:rPr>
      </w:pPr>
      <w:r w:rsidRPr="000F531B">
        <w:rPr>
          <w:rFonts w:ascii="Arial" w:hAnsi="Arial" w:cs="Arial"/>
          <w:b/>
        </w:rPr>
        <w:t>Prodotti a media frequenza</w:t>
      </w:r>
      <w:r w:rsidRPr="000F531B">
        <w:rPr>
          <w:rFonts w:ascii="Arial" w:hAnsi="Arial" w:cs="Arial"/>
        </w:rPr>
        <w:t xml:space="preserve"> </w:t>
      </w:r>
      <w:r w:rsidRPr="000F531B">
        <w:rPr>
          <w:rFonts w:ascii="Arial" w:hAnsi="Arial" w:cs="Arial"/>
          <w:b/>
        </w:rPr>
        <w:t>di acquisto</w:t>
      </w:r>
      <w:r w:rsidRPr="000F531B">
        <w:rPr>
          <w:rFonts w:ascii="Arial" w:hAnsi="Arial" w:cs="Arial"/>
        </w:rPr>
        <w:t xml:space="preserve">: comprendono, </w:t>
      </w:r>
      <w:r w:rsidRPr="00642DBC">
        <w:rPr>
          <w:rFonts w:ascii="Arial" w:hAnsi="Arial" w:cs="Arial"/>
        </w:rPr>
        <w:t>tra gli altri,</w:t>
      </w:r>
      <w:r w:rsidRPr="000F531B">
        <w:rPr>
          <w:rFonts w:ascii="Arial" w:hAnsi="Arial" w:cs="Arial"/>
        </w:rPr>
        <w:t xml:space="preserve"> le spese di abbigliamento, le tariffe elettriche e quelle relative all’acqua potabile e lo smaltimento dei rifiuti, i medicinali, i servizi medici e quelli dentistici, i trasporti stradali, ferroviari marittimi e aerei, i servizi postali e telefonici, i servizi ricreativi e culturali, i pacchetti vacanze, i libri, gli alberghi e gli altri servizi di alloggio.</w:t>
      </w:r>
    </w:p>
    <w:p w:rsidR="005B7BD6" w:rsidRPr="000F531B" w:rsidRDefault="005B7BD6" w:rsidP="005B7BD6">
      <w:pPr>
        <w:spacing w:before="0" w:after="120"/>
        <w:jc w:val="both"/>
        <w:rPr>
          <w:rFonts w:ascii="Arial" w:hAnsi="Arial" w:cs="Arial"/>
        </w:rPr>
      </w:pPr>
      <w:r w:rsidRPr="000F531B">
        <w:rPr>
          <w:rFonts w:ascii="Arial" w:hAnsi="Arial" w:cs="Arial"/>
          <w:b/>
        </w:rPr>
        <w:t>Prodotti a bassa frequenza di acquisto</w:t>
      </w:r>
      <w:r w:rsidRPr="000F531B">
        <w:rPr>
          <w:rFonts w:ascii="Arial" w:hAnsi="Arial" w:cs="Arial"/>
        </w:rPr>
        <w:t>: comprendono gli elettrodomestici, i servizi ospedalieri, l’acquisto dei mezzi di trasporto, i servizi di trasloco, gli apparecchi audiovisivi, fotografici e informatici, gli articoli sportivi.</w:t>
      </w:r>
    </w:p>
    <w:p w:rsidR="005B7BD6" w:rsidRPr="000F531B" w:rsidRDefault="005B7BD6" w:rsidP="005B7BD6">
      <w:pPr>
        <w:spacing w:before="0" w:after="120"/>
        <w:jc w:val="both"/>
        <w:rPr>
          <w:rFonts w:ascii="Arial" w:hAnsi="Arial" w:cs="Arial"/>
        </w:rPr>
      </w:pPr>
      <w:r w:rsidRPr="000F531B">
        <w:rPr>
          <w:rFonts w:ascii="Arial" w:hAnsi="Arial" w:cs="Arial"/>
          <w:b/>
        </w:rPr>
        <w:t>Servizi regolamentati</w:t>
      </w:r>
      <w:r w:rsidRPr="000F531B">
        <w:rPr>
          <w:rFonts w:ascii="Arial" w:hAnsi="Arial" w:cs="Arial"/>
        </w:rPr>
        <w:t>: tipologie di servizio i cui prezzi sono stabiliti da amministrazioni nazionali o locali e da servizi di pubblica utilità soggetti a regolamentazione da parte di specifiche Agenzie (Authority). Comprendono i certificati anagrafici, il passaporto, la tariffa per i rifiuti solidi, la tariffa per la raccolta di acque reflue, l’istruzione secondaria, le mense scolastiche, i trasporti urbani unimodali e multimodali (biglietti e abbonamenti), il trasporto extra-urbano su bus e quello extra-urbano multimodale, i taxi, i trasporti ferroviari regionali, i pedaggi autostradali, i concorsi pronostici, il canone tv, i servizi di telefonia fissa, la revisione auto, le tasse per il trasferimento della proprietà delle autovetture e dei motoveicoli e alcuni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all’abitazione</w:t>
      </w:r>
      <w:r w:rsidRPr="000F531B">
        <w:rPr>
          <w:rFonts w:ascii="Arial" w:hAnsi="Arial" w:cs="Arial"/>
        </w:rPr>
        <w:t>: comprendono i servizi di riparazione, la pulizia e la manutenzione della casa, la tariffa per i rifiuti solidi, la tariffa per la raccolta acque reflue, il canone d'affitto, le spese condominiali.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alle comunicazioni</w:t>
      </w:r>
      <w:r w:rsidRPr="000F531B">
        <w:rPr>
          <w:rFonts w:ascii="Arial" w:hAnsi="Arial" w:cs="Arial"/>
        </w:rPr>
        <w:t>: comprendono i servizi di telefonia e 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ricreativi, culturali e per la cura della persona</w:t>
      </w:r>
      <w:r w:rsidRPr="000F531B">
        <w:rPr>
          <w:rFonts w:ascii="Arial" w:hAnsi="Arial" w:cs="Arial"/>
        </w:rPr>
        <w:t>: comprendono i pacchetti vacanza, i servizi di alloggio, i ristoranti, bar e simili, le mense, la riparazione di apparecchi audiovisivi, fotografici e informatici, i servizi per l'abbigliamento, i servizi per l</w:t>
      </w:r>
      <w:r>
        <w:rPr>
          <w:rFonts w:ascii="Arial" w:hAnsi="Arial" w:cs="Arial"/>
        </w:rPr>
        <w:t>’</w:t>
      </w:r>
      <w:r w:rsidRPr="000F531B">
        <w:rPr>
          <w:rFonts w:ascii="Arial" w:hAnsi="Arial" w:cs="Arial"/>
        </w:rPr>
        <w:t>igiene personale, i servizi ricreativi e culturali vari, i concorsi e le lotterie.</w:t>
      </w:r>
    </w:p>
    <w:p w:rsidR="005B7BD6" w:rsidRPr="000F531B" w:rsidRDefault="005B7BD6" w:rsidP="005B7BD6">
      <w:pPr>
        <w:spacing w:before="0" w:after="120"/>
        <w:jc w:val="both"/>
        <w:rPr>
          <w:rFonts w:ascii="Arial" w:hAnsi="Arial" w:cs="Arial"/>
        </w:rPr>
      </w:pPr>
      <w:r w:rsidRPr="000F531B">
        <w:rPr>
          <w:rFonts w:ascii="Arial" w:hAnsi="Arial" w:cs="Arial"/>
          <w:b/>
        </w:rPr>
        <w:t>Servizi relativi ai trasporti</w:t>
      </w:r>
      <w:r w:rsidRPr="000F531B">
        <w:rPr>
          <w:rFonts w:ascii="Arial" w:hAnsi="Arial" w:cs="Arial"/>
        </w:rPr>
        <w:t>: comprendono i trasporti aerei, marittimi, ferroviari, e stradali, i servizi di manutenzione e riparazione di mezzi di trasporto, le assicurazioni sui mezzi di trasporto.</w:t>
      </w:r>
    </w:p>
    <w:p w:rsidR="005B7BD6" w:rsidRPr="000F531B" w:rsidRDefault="005B7BD6" w:rsidP="005B7BD6">
      <w:pPr>
        <w:spacing w:before="0" w:after="120"/>
        <w:jc w:val="both"/>
        <w:rPr>
          <w:rFonts w:ascii="Arial" w:hAnsi="Arial" w:cs="Arial"/>
        </w:rPr>
      </w:pPr>
      <w:r w:rsidRPr="000F531B">
        <w:rPr>
          <w:rFonts w:ascii="Arial" w:hAnsi="Arial" w:cs="Arial"/>
          <w:b/>
        </w:rPr>
        <w:t>Servizi vari</w:t>
      </w:r>
      <w:r w:rsidRPr="000F531B">
        <w:rPr>
          <w:rFonts w:ascii="Arial" w:hAnsi="Arial" w:cs="Arial"/>
        </w:rPr>
        <w:t>:</w:t>
      </w:r>
      <w:r w:rsidRPr="000F531B">
        <w:rPr>
          <w:rFonts w:ascii="Arial" w:hAnsi="Arial" w:cs="Arial"/>
          <w:b/>
        </w:rPr>
        <w:t xml:space="preserve"> </w:t>
      </w:r>
      <w:r w:rsidRPr="000F531B">
        <w:rPr>
          <w:rFonts w:ascii="Arial" w:hAnsi="Arial" w:cs="Arial"/>
        </w:rPr>
        <w:t>comprendono l’istruzione, i servizi medici, i servizi per l’assistenza, i servizi finanziari; professioni liberali; servizio funebre; assicurazioni sugli infortuni.</w:t>
      </w:r>
    </w:p>
    <w:p w:rsidR="005B7BD6" w:rsidRPr="000F531B" w:rsidRDefault="005B7BD6" w:rsidP="005B7BD6">
      <w:pPr>
        <w:spacing w:before="0" w:after="120"/>
        <w:jc w:val="both"/>
        <w:rPr>
          <w:rFonts w:ascii="Arial" w:hAnsi="Arial" w:cs="Arial"/>
          <w:bCs/>
        </w:rPr>
      </w:pPr>
      <w:r w:rsidRPr="000F531B">
        <w:rPr>
          <w:rFonts w:ascii="Arial" w:hAnsi="Arial" w:cs="Arial"/>
          <w:b/>
          <w:bCs/>
        </w:rPr>
        <w:t>Variazione congiunturale</w:t>
      </w:r>
      <w:r w:rsidRPr="000F531B">
        <w:rPr>
          <w:rFonts w:ascii="Arial" w:hAnsi="Arial" w:cs="Arial"/>
          <w:bCs/>
        </w:rPr>
        <w:t>: variazione rispetto al periodo precedente.</w:t>
      </w:r>
    </w:p>
    <w:p w:rsidR="007D5F5F" w:rsidRPr="00D8013C" w:rsidRDefault="005B7BD6" w:rsidP="005B7BD6">
      <w:pPr>
        <w:pStyle w:val="Corpotesto"/>
        <w:spacing w:after="120" w:line="240" w:lineRule="auto"/>
        <w:jc w:val="both"/>
        <w:rPr>
          <w:rFonts w:ascii="Arial" w:hAnsi="Arial" w:cs="Arial"/>
          <w:bCs/>
        </w:rPr>
      </w:pPr>
      <w:r w:rsidRPr="000F531B">
        <w:rPr>
          <w:rFonts w:ascii="Arial" w:hAnsi="Arial" w:cs="Arial"/>
          <w:b/>
          <w:bCs/>
        </w:rPr>
        <w:t>Variazione tendenziale</w:t>
      </w:r>
      <w:r w:rsidRPr="000F531B">
        <w:rPr>
          <w:rFonts w:ascii="Arial" w:hAnsi="Arial" w:cs="Arial"/>
          <w:bCs/>
        </w:rPr>
        <w:t>:</w:t>
      </w:r>
      <w:r w:rsidRPr="000F531B">
        <w:rPr>
          <w:rFonts w:ascii="Arial" w:hAnsi="Arial" w:cs="Arial"/>
          <w:b/>
          <w:bCs/>
        </w:rPr>
        <w:t xml:space="preserve"> </w:t>
      </w:r>
      <w:r w:rsidRPr="000F531B">
        <w:rPr>
          <w:rFonts w:ascii="Arial" w:hAnsi="Arial" w:cs="Arial"/>
          <w:bCs/>
        </w:rPr>
        <w:t>variazione rispetto allo stesso periodo dell’anno precedente</w:t>
      </w:r>
      <w:r w:rsidR="003F7131" w:rsidRPr="000F531B">
        <w:rPr>
          <w:rFonts w:ascii="Arial" w:hAnsi="Arial" w:cs="Arial"/>
          <w:bCs/>
        </w:rPr>
        <w:t>.</w:t>
      </w:r>
    </w:p>
    <w:p w:rsidR="00DC7F84" w:rsidRPr="00C8504B" w:rsidRDefault="00DC7F84" w:rsidP="00DC7F84">
      <w:pPr>
        <w:pStyle w:val="Corpotesto"/>
        <w:spacing w:after="120" w:line="240" w:lineRule="auto"/>
        <w:jc w:val="both"/>
        <w:rPr>
          <w:rFonts w:ascii="Arial" w:hAnsi="Arial" w:cs="Arial"/>
          <w:bCs/>
        </w:rPr>
      </w:pPr>
    </w:p>
    <w:p w:rsidR="004868BD" w:rsidRPr="00C8504B" w:rsidRDefault="004868BD" w:rsidP="00080F2D">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AA3917" w:rsidRPr="00C8504B" w:rsidRDefault="00AA3917" w:rsidP="00080F2D">
      <w:pPr>
        <w:pStyle w:val="Corpotesto"/>
        <w:spacing w:after="120" w:line="240" w:lineRule="auto"/>
        <w:jc w:val="both"/>
        <w:rPr>
          <w:rFonts w:ascii="Arial" w:hAnsi="Arial" w:cs="Arial"/>
          <w:b/>
          <w:sz w:val="24"/>
          <w:szCs w:val="24"/>
        </w:rPr>
        <w:sectPr w:rsidR="00AA3917" w:rsidRPr="00C8504B" w:rsidSect="000161B7">
          <w:headerReference w:type="default" r:id="rId33"/>
          <w:pgSz w:w="11907" w:h="16840" w:code="9"/>
          <w:pgMar w:top="1537" w:right="851" w:bottom="680" w:left="851" w:header="567" w:footer="567" w:gutter="0"/>
          <w:cols w:space="720"/>
          <w:noEndnote/>
          <w:docGrid w:linePitch="272"/>
        </w:sectPr>
      </w:pPr>
    </w:p>
    <w:p w:rsidR="005046FC" w:rsidRPr="001969C1" w:rsidRDefault="005046FC" w:rsidP="000850B6">
      <w:pPr>
        <w:spacing w:before="0" w:after="120"/>
        <w:jc w:val="both"/>
        <w:rPr>
          <w:rFonts w:ascii="Arial" w:hAnsi="Arial" w:cs="Arial"/>
          <w:b/>
          <w:sz w:val="18"/>
          <w:szCs w:val="22"/>
        </w:rPr>
      </w:pPr>
    </w:p>
    <w:p w:rsidR="00367107" w:rsidRPr="00C8504B" w:rsidRDefault="00367107" w:rsidP="00367107">
      <w:pPr>
        <w:spacing w:before="0" w:after="120"/>
        <w:jc w:val="both"/>
        <w:rPr>
          <w:rFonts w:ascii="Arial" w:hAnsi="Arial" w:cs="Arial"/>
          <w:b/>
          <w:sz w:val="22"/>
          <w:szCs w:val="22"/>
        </w:rPr>
      </w:pPr>
      <w:r w:rsidRPr="00C8504B">
        <w:rPr>
          <w:rFonts w:ascii="Arial" w:hAnsi="Arial" w:cs="Arial"/>
          <w:b/>
          <w:sz w:val="22"/>
          <w:szCs w:val="22"/>
        </w:rPr>
        <w:t>Introduzione e quadro normativo</w:t>
      </w:r>
    </w:p>
    <w:p w:rsidR="00367107" w:rsidRDefault="00367107" w:rsidP="00367107">
      <w:pPr>
        <w:tabs>
          <w:tab w:val="left" w:pos="1843"/>
        </w:tabs>
        <w:spacing w:before="0" w:after="120"/>
        <w:jc w:val="both"/>
        <w:rPr>
          <w:rFonts w:ascii="Arial" w:hAnsi="Arial" w:cs="Arial"/>
          <w:szCs w:val="21"/>
        </w:rPr>
      </w:pPr>
      <w:r>
        <w:rPr>
          <w:rFonts w:ascii="Arial" w:hAnsi="Arial" w:cs="Arial"/>
          <w:szCs w:val="21"/>
        </w:rPr>
        <w:t>Gli indici</w:t>
      </w:r>
      <w:r w:rsidRPr="00784845">
        <w:rPr>
          <w:rFonts w:ascii="Arial" w:hAnsi="Arial" w:cs="Arial"/>
          <w:szCs w:val="21"/>
        </w:rPr>
        <w:t xml:space="preserve"> dei prezzi al consumo misura</w:t>
      </w:r>
      <w:r>
        <w:rPr>
          <w:rFonts w:ascii="Arial" w:hAnsi="Arial" w:cs="Arial"/>
          <w:szCs w:val="21"/>
        </w:rPr>
        <w:t>no</w:t>
      </w:r>
      <w:r w:rsidRPr="00784845">
        <w:rPr>
          <w:rFonts w:ascii="Arial" w:hAnsi="Arial" w:cs="Arial"/>
          <w:szCs w:val="21"/>
        </w:rPr>
        <w:t xml:space="preserve"> le variazioni nel tempo dei prezzi di un insieme di prodotti (paniere) rappresentativo di tutti i beni e servizi destinati al consumo finale delle famiglie, acquistabili sul mercato attraverso transazioni monetarie (sono escluse </w:t>
      </w:r>
      <w:r>
        <w:rPr>
          <w:rFonts w:ascii="Arial" w:hAnsi="Arial" w:cs="Arial"/>
          <w:szCs w:val="21"/>
        </w:rPr>
        <w:t xml:space="preserve">le </w:t>
      </w:r>
      <w:r w:rsidRPr="00784845">
        <w:rPr>
          <w:rFonts w:ascii="Arial" w:hAnsi="Arial" w:cs="Arial"/>
          <w:szCs w:val="21"/>
        </w:rPr>
        <w:t xml:space="preserve">transazioni a titolo gratuito, </w:t>
      </w:r>
      <w:r>
        <w:rPr>
          <w:rFonts w:ascii="Arial" w:hAnsi="Arial" w:cs="Arial"/>
          <w:szCs w:val="21"/>
        </w:rPr>
        <w:t xml:space="preserve">gli </w:t>
      </w:r>
      <w:r w:rsidRPr="00784845">
        <w:rPr>
          <w:rFonts w:ascii="Arial" w:hAnsi="Arial" w:cs="Arial"/>
          <w:szCs w:val="21"/>
        </w:rPr>
        <w:t xml:space="preserve">autoconsumi, </w:t>
      </w:r>
      <w:r>
        <w:rPr>
          <w:rFonts w:ascii="Arial" w:hAnsi="Arial" w:cs="Arial"/>
          <w:szCs w:val="21"/>
        </w:rPr>
        <w:t xml:space="preserve">i </w:t>
      </w:r>
      <w:r w:rsidRPr="00784845">
        <w:rPr>
          <w:rFonts w:ascii="Arial" w:hAnsi="Arial" w:cs="Arial"/>
          <w:szCs w:val="21"/>
        </w:rPr>
        <w:t>fitti figurativi, ecc</w:t>
      </w:r>
      <w:r>
        <w:rPr>
          <w:rFonts w:ascii="Arial" w:hAnsi="Arial" w:cs="Arial"/>
          <w:szCs w:val="21"/>
        </w:rPr>
        <w:t>.).</w:t>
      </w:r>
      <w:r w:rsidRPr="00784845">
        <w:rPr>
          <w:rFonts w:ascii="Arial" w:hAnsi="Arial" w:cs="Arial"/>
          <w:szCs w:val="21"/>
        </w:rPr>
        <w:t xml:space="preserve"> </w:t>
      </w:r>
    </w:p>
    <w:p w:rsidR="00367107" w:rsidRDefault="00367107" w:rsidP="00367107">
      <w:pPr>
        <w:tabs>
          <w:tab w:val="left" w:pos="1843"/>
        </w:tabs>
        <w:spacing w:before="0" w:after="120"/>
        <w:jc w:val="both"/>
        <w:rPr>
          <w:rFonts w:ascii="Arial" w:hAnsi="Arial" w:cs="Arial"/>
          <w:szCs w:val="21"/>
        </w:rPr>
      </w:pPr>
      <w:r>
        <w:rPr>
          <w:rFonts w:ascii="Arial" w:hAnsi="Arial" w:cs="Arial"/>
          <w:szCs w:val="21"/>
        </w:rPr>
        <w:t xml:space="preserve">Il sistema degli indici dei prezzi al consumo è articolato in tre diversi indicatori: </w:t>
      </w:r>
    </w:p>
    <w:p w:rsidR="00367107" w:rsidRDefault="00367107" w:rsidP="00367107">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nazionale dei prezzi al consumo per l’intera collettività (NIC) </w:t>
      </w:r>
      <w:r w:rsidRPr="00AC2EF0">
        <w:rPr>
          <w:rFonts w:ascii="Arial" w:hAnsi="Arial" w:cs="Arial"/>
          <w:szCs w:val="21"/>
        </w:rPr>
        <w:t xml:space="preserve">è utilizzato come misura dell’inflazione per l’intero sistema economico; </w:t>
      </w:r>
    </w:p>
    <w:p w:rsidR="00367107" w:rsidRPr="00AC2EF0" w:rsidRDefault="00367107" w:rsidP="00367107">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dei prezzi al consumo per le famiglie di operai e impiegati (FOI) </w:t>
      </w:r>
      <w:r w:rsidRPr="00AC2EF0">
        <w:rPr>
          <w:rFonts w:ascii="Arial" w:hAnsi="Arial" w:cs="Arial"/>
          <w:szCs w:val="21"/>
        </w:rPr>
        <w:t xml:space="preserve">si riferisce ai consumi dell’insieme delle famiglie che fanno capo ad un lavoratore dipendente; </w:t>
      </w:r>
    </w:p>
    <w:p w:rsidR="00367107" w:rsidRDefault="00367107" w:rsidP="00367107">
      <w:pPr>
        <w:numPr>
          <w:ilvl w:val="0"/>
          <w:numId w:val="2"/>
        </w:numPr>
        <w:tabs>
          <w:tab w:val="left" w:pos="284"/>
          <w:tab w:val="left" w:pos="1843"/>
          <w:tab w:val="left" w:pos="2127"/>
          <w:tab w:val="left" w:pos="2410"/>
        </w:tabs>
        <w:spacing w:before="0" w:after="120"/>
        <w:ind w:left="0" w:firstLine="0"/>
        <w:jc w:val="both"/>
        <w:rPr>
          <w:rFonts w:ascii="Arial" w:hAnsi="Arial" w:cs="Arial"/>
          <w:i/>
          <w:iCs/>
          <w:szCs w:val="21"/>
        </w:rPr>
      </w:pPr>
      <w:r>
        <w:rPr>
          <w:rFonts w:ascii="Arial" w:hAnsi="Arial" w:cs="Arial"/>
          <w:b/>
          <w:bCs/>
          <w:szCs w:val="21"/>
        </w:rPr>
        <w:t xml:space="preserve">l’indice dei prezzi al consumo armonizzato per i paesi dell’Unione europea (IPCA) </w:t>
      </w:r>
      <w:r>
        <w:rPr>
          <w:rFonts w:ascii="Arial" w:hAnsi="Arial" w:cs="Arial"/>
          <w:szCs w:val="21"/>
        </w:rPr>
        <w:t xml:space="preserve">assicura una misura dell’inflazione comparabile tra i diversi paesi europei, attraverso l’adozione di un impianto concettuale, metodologico e tecnico condiviso. </w:t>
      </w:r>
      <w:r w:rsidRPr="00E250D1">
        <w:rPr>
          <w:rFonts w:ascii="Arial" w:hAnsi="Arial" w:cs="Arial"/>
          <w:szCs w:val="21"/>
        </w:rPr>
        <w:t>In</w:t>
      </w:r>
      <w:r>
        <w:rPr>
          <w:rFonts w:ascii="Arial" w:hAnsi="Arial" w:cs="Arial"/>
          <w:szCs w:val="21"/>
        </w:rPr>
        <w:t xml:space="preserve"> ottemperanza alla normativa europea, e coerentemente agli standard previsti dai regolamenti, l’indice IPCA è elaborato anche nella versione “a tassazione costante (IPCA-TC)”.</w:t>
      </w:r>
    </w:p>
    <w:p w:rsidR="00367107" w:rsidRDefault="00367107" w:rsidP="00367107">
      <w:pPr>
        <w:spacing w:before="0" w:after="120"/>
        <w:jc w:val="both"/>
        <w:rPr>
          <w:rFonts w:ascii="Arial" w:hAnsi="Arial" w:cs="Arial"/>
          <w:szCs w:val="21"/>
        </w:rPr>
      </w:pPr>
      <w:r w:rsidRPr="009D6334">
        <w:rPr>
          <w:rFonts w:ascii="Arial" w:hAnsi="Arial" w:cs="Arial"/>
          <w:szCs w:val="21"/>
        </w:rPr>
        <w:t>Le serie degli indici nazionali NIC e FOI hanno base di riferimento 2015=100.</w:t>
      </w:r>
      <w:r>
        <w:rPr>
          <w:rFonts w:ascii="Arial" w:hAnsi="Arial" w:cs="Arial"/>
          <w:szCs w:val="21"/>
        </w:rPr>
        <w:t xml:space="preserve"> </w:t>
      </w:r>
      <w:r w:rsidRPr="009D6334">
        <w:rPr>
          <w:rFonts w:ascii="Arial" w:hAnsi="Arial" w:cs="Arial"/>
          <w:szCs w:val="21"/>
        </w:rPr>
        <w:t xml:space="preserve">Anche l’indice IPCA è calcolato e diffuso con base di riferimento 2015=100, in linea con gli altri Paesi dell’Unione europea e in conformità al </w:t>
      </w:r>
      <w:hyperlink r:id="rId34" w:history="1">
        <w:r w:rsidRPr="00126020">
          <w:rPr>
            <w:rStyle w:val="Collegamentoipertestuale"/>
            <w:rFonts w:ascii="Arial" w:hAnsi="Arial" w:cs="Arial"/>
            <w:b/>
            <w:szCs w:val="21"/>
          </w:rPr>
          <w:t>Regolamento (UE) n. 2016/792</w:t>
        </w:r>
      </w:hyperlink>
      <w:r w:rsidRPr="009D6334">
        <w:rPr>
          <w:rFonts w:ascii="Arial" w:hAnsi="Arial" w:cs="Arial"/>
          <w:szCs w:val="21"/>
        </w:rPr>
        <w:t xml:space="preserve"> </w:t>
      </w:r>
      <w:r w:rsidRPr="00E250D1">
        <w:rPr>
          <w:rFonts w:ascii="Arial" w:hAnsi="Arial" w:cs="Arial"/>
          <w:szCs w:val="21"/>
        </w:rPr>
        <w:t>del Parlamento e del Consiglio</w:t>
      </w:r>
      <w:r w:rsidRPr="00651A91">
        <w:t xml:space="preserve"> </w:t>
      </w:r>
      <w:r w:rsidRPr="00651A91">
        <w:rPr>
          <w:rFonts w:ascii="Arial" w:hAnsi="Arial" w:cs="Arial"/>
          <w:szCs w:val="21"/>
        </w:rPr>
        <w:t xml:space="preserve">e con il </w:t>
      </w:r>
      <w:hyperlink r:id="rId35" w:history="1">
        <w:r w:rsidRPr="00651A91">
          <w:rPr>
            <w:rStyle w:val="Collegamentoipertestuale"/>
            <w:rFonts w:ascii="Arial" w:hAnsi="Arial" w:cs="Arial"/>
            <w:b/>
            <w:szCs w:val="21"/>
          </w:rPr>
          <w:t>Regolamento di Esecuzione (UE) n. 2020/1148</w:t>
        </w:r>
      </w:hyperlink>
      <w:r w:rsidRPr="00651A91">
        <w:rPr>
          <w:rFonts w:ascii="Arial" w:hAnsi="Arial" w:cs="Arial"/>
          <w:szCs w:val="21"/>
        </w:rPr>
        <w:t xml:space="preserve"> della </w:t>
      </w:r>
      <w:r>
        <w:rPr>
          <w:rFonts w:ascii="Arial" w:hAnsi="Arial" w:cs="Arial"/>
          <w:szCs w:val="21"/>
        </w:rPr>
        <w:t>Commissione del 31 luglio 2020.</w:t>
      </w:r>
    </w:p>
    <w:p w:rsidR="00367107" w:rsidRDefault="00367107" w:rsidP="00367107">
      <w:pPr>
        <w:spacing w:before="0" w:after="120"/>
        <w:jc w:val="both"/>
        <w:rPr>
          <w:rFonts w:ascii="Arial" w:hAnsi="Arial" w:cs="Arial"/>
          <w:szCs w:val="21"/>
        </w:rPr>
      </w:pPr>
      <w:r w:rsidRPr="00A32505">
        <w:rPr>
          <w:rFonts w:ascii="Arial" w:hAnsi="Arial" w:cs="Arial"/>
          <w:szCs w:val="21"/>
        </w:rPr>
        <w:t xml:space="preserve">La rilevazione dei prezzi al consumo è </w:t>
      </w:r>
      <w:r>
        <w:rPr>
          <w:rFonts w:ascii="Arial" w:hAnsi="Arial" w:cs="Arial"/>
          <w:szCs w:val="21"/>
        </w:rPr>
        <w:t>disciplinata anche da diverse</w:t>
      </w:r>
      <w:r w:rsidRPr="00A32505">
        <w:rPr>
          <w:rFonts w:ascii="Arial" w:hAnsi="Arial" w:cs="Arial"/>
          <w:szCs w:val="21"/>
        </w:rPr>
        <w:t xml:space="preserve"> leggi e regolamenti</w:t>
      </w:r>
      <w:r>
        <w:rPr>
          <w:rFonts w:ascii="Arial" w:hAnsi="Arial" w:cs="Arial"/>
          <w:szCs w:val="21"/>
        </w:rPr>
        <w:t xml:space="preserve"> che </w:t>
      </w:r>
      <w:r w:rsidRPr="00A32505">
        <w:rPr>
          <w:rFonts w:ascii="Arial" w:hAnsi="Arial" w:cs="Arial"/>
          <w:szCs w:val="21"/>
        </w:rPr>
        <w:t xml:space="preserve">definiscono </w:t>
      </w:r>
      <w:r>
        <w:rPr>
          <w:rFonts w:ascii="Arial" w:hAnsi="Arial" w:cs="Arial"/>
          <w:szCs w:val="21"/>
        </w:rPr>
        <w:t xml:space="preserve">i </w:t>
      </w:r>
      <w:r w:rsidRPr="00A32505">
        <w:rPr>
          <w:rFonts w:ascii="Arial" w:hAnsi="Arial" w:cs="Arial"/>
          <w:szCs w:val="21"/>
        </w:rPr>
        <w:t xml:space="preserve">soggetti </w:t>
      </w:r>
      <w:r>
        <w:rPr>
          <w:rFonts w:ascii="Arial" w:hAnsi="Arial" w:cs="Arial"/>
          <w:szCs w:val="21"/>
        </w:rPr>
        <w:t>coinvolti (l’</w:t>
      </w:r>
      <w:r w:rsidRPr="00A32505">
        <w:rPr>
          <w:rFonts w:ascii="Arial" w:hAnsi="Arial" w:cs="Arial"/>
          <w:szCs w:val="21"/>
        </w:rPr>
        <w:t>Istituto nazionale di statistica e i Comuni</w:t>
      </w:r>
      <w:r>
        <w:rPr>
          <w:rFonts w:ascii="Arial" w:hAnsi="Arial" w:cs="Arial"/>
          <w:szCs w:val="21"/>
        </w:rPr>
        <w:t>)</w:t>
      </w:r>
      <w:r w:rsidRPr="00A32505">
        <w:rPr>
          <w:rFonts w:ascii="Arial" w:hAnsi="Arial" w:cs="Arial"/>
          <w:szCs w:val="21"/>
        </w:rPr>
        <w:t xml:space="preserve"> e </w:t>
      </w:r>
      <w:r>
        <w:rPr>
          <w:rFonts w:ascii="Arial" w:hAnsi="Arial" w:cs="Arial"/>
          <w:szCs w:val="21"/>
        </w:rPr>
        <w:t xml:space="preserve">le relative </w:t>
      </w:r>
      <w:r w:rsidRPr="00E250D1">
        <w:rPr>
          <w:rFonts w:ascii="Arial" w:hAnsi="Arial" w:cs="Arial"/>
          <w:szCs w:val="21"/>
        </w:rPr>
        <w:t>funzioni:</w:t>
      </w:r>
    </w:p>
    <w:p w:rsidR="00367107" w:rsidRPr="00936CFD" w:rsidRDefault="00367107" w:rsidP="00367107">
      <w:pPr>
        <w:numPr>
          <w:ilvl w:val="0"/>
          <w:numId w:val="6"/>
        </w:numPr>
        <w:spacing w:before="0" w:after="0"/>
        <w:ind w:left="426" w:hanging="284"/>
        <w:jc w:val="both"/>
        <w:rPr>
          <w:rFonts w:ascii="Arial" w:hAnsi="Arial" w:cs="Arial"/>
          <w:spacing w:val="-4"/>
          <w:szCs w:val="21"/>
        </w:rPr>
      </w:pPr>
      <w:r w:rsidRPr="00E250D1">
        <w:rPr>
          <w:rFonts w:ascii="Arial" w:hAnsi="Arial" w:cs="Arial"/>
          <w:szCs w:val="21"/>
        </w:rPr>
        <w:t xml:space="preserve">il </w:t>
      </w:r>
      <w:r w:rsidRPr="00E250D1">
        <w:rPr>
          <w:rFonts w:ascii="Arial" w:hAnsi="Arial" w:cs="Arial"/>
          <w:b/>
          <w:szCs w:val="21"/>
        </w:rPr>
        <w:t xml:space="preserve">Regio Decreto Legge </w:t>
      </w:r>
      <w:r w:rsidRPr="00E250D1">
        <w:rPr>
          <w:rFonts w:ascii="Arial" w:hAnsi="Arial" w:cs="Arial"/>
          <w:b/>
          <w:iCs/>
          <w:szCs w:val="21"/>
        </w:rPr>
        <w:t>n. 222/1927</w:t>
      </w:r>
      <w:r w:rsidRPr="00E250D1">
        <w:rPr>
          <w:rFonts w:ascii="Arial" w:hAnsi="Arial" w:cs="Arial"/>
          <w:szCs w:val="21"/>
        </w:rPr>
        <w:t>, che</w:t>
      </w:r>
      <w:r>
        <w:rPr>
          <w:rFonts w:ascii="Arial" w:hAnsi="Arial" w:cs="Arial"/>
          <w:i/>
          <w:iCs/>
          <w:szCs w:val="21"/>
        </w:rPr>
        <w:t xml:space="preserve"> </w:t>
      </w:r>
      <w:r>
        <w:rPr>
          <w:rFonts w:ascii="Arial" w:hAnsi="Arial" w:cs="Arial"/>
          <w:szCs w:val="21"/>
        </w:rPr>
        <w:t>conferisce l’incarico all’Istituto centrale di statistica di promuovere la formazione di indici del costo della vita in tutti i comuni con più di 100.000 abitanti e in altri, preferibilmente scelti tra i capoluoghi di provincia o tra quelli con più di 50.000 abitanti che abbiano uffici di statistica idonei;</w:t>
      </w:r>
    </w:p>
    <w:p w:rsidR="00367107" w:rsidRPr="00BE18E0" w:rsidRDefault="00367107" w:rsidP="00367107">
      <w:pPr>
        <w:numPr>
          <w:ilvl w:val="0"/>
          <w:numId w:val="6"/>
        </w:numPr>
        <w:spacing w:before="0" w:after="0"/>
        <w:ind w:left="426" w:hanging="284"/>
        <w:jc w:val="both"/>
        <w:rPr>
          <w:rFonts w:ascii="Arial" w:hAnsi="Arial" w:cs="Arial"/>
          <w:spacing w:val="-4"/>
          <w:szCs w:val="21"/>
        </w:rPr>
      </w:pPr>
      <w:r w:rsidRPr="00BE18E0">
        <w:rPr>
          <w:rFonts w:ascii="Arial" w:hAnsi="Arial" w:cs="Arial"/>
          <w:color w:val="000000"/>
          <w:szCs w:val="21"/>
        </w:rPr>
        <w:t xml:space="preserve">la </w:t>
      </w:r>
      <w:r w:rsidRPr="00BE18E0">
        <w:rPr>
          <w:rFonts w:ascii="Arial" w:hAnsi="Arial" w:cs="Arial"/>
          <w:b/>
          <w:iCs/>
          <w:szCs w:val="21"/>
        </w:rPr>
        <w:t>Legge n. 621/1975</w:t>
      </w:r>
      <w:r w:rsidRPr="00BE18E0">
        <w:rPr>
          <w:rFonts w:ascii="Arial" w:hAnsi="Arial" w:cs="Arial"/>
          <w:i/>
          <w:iCs/>
          <w:szCs w:val="21"/>
        </w:rPr>
        <w:t xml:space="preserve"> </w:t>
      </w:r>
      <w:r w:rsidRPr="00BE18E0">
        <w:rPr>
          <w:rFonts w:ascii="Arial" w:hAnsi="Arial" w:cs="Arial"/>
          <w:color w:val="000000"/>
          <w:szCs w:val="21"/>
        </w:rPr>
        <w:t>modifica come di seguito il regio decreto relativamente ai comuni cui spetta l’obbligo di condurre l’indagine sui prezzi al consumo: “tra i comuni di cui all’art. 1 … devono intendersi compresi tutti i comuni capoluogo di provincia e quelli con oltre 30.000 abitanti che abbiano un ufficio di statistica idoneo”</w:t>
      </w:r>
      <w:r>
        <w:rPr>
          <w:rFonts w:ascii="Arial" w:hAnsi="Arial" w:cs="Arial"/>
          <w:color w:val="000000"/>
          <w:szCs w:val="21"/>
        </w:rPr>
        <w:t>;</w:t>
      </w:r>
    </w:p>
    <w:p w:rsidR="00367107" w:rsidRPr="0022162A" w:rsidRDefault="00367107" w:rsidP="00367107">
      <w:pPr>
        <w:numPr>
          <w:ilvl w:val="0"/>
          <w:numId w:val="6"/>
        </w:numPr>
        <w:spacing w:before="0" w:after="0"/>
        <w:ind w:left="426" w:hanging="284"/>
        <w:jc w:val="both"/>
        <w:rPr>
          <w:rFonts w:ascii="Arial" w:hAnsi="Arial" w:cs="Arial"/>
          <w:spacing w:val="-4"/>
          <w:szCs w:val="21"/>
        </w:rPr>
      </w:pPr>
      <w:r>
        <w:rPr>
          <w:rFonts w:ascii="Arial" w:hAnsi="Arial" w:cs="Arial"/>
          <w:szCs w:val="21"/>
        </w:rPr>
        <w:t xml:space="preserve">il </w:t>
      </w:r>
      <w:hyperlink r:id="rId36" w:history="1">
        <w:proofErr w:type="spellStart"/>
        <w:r w:rsidRPr="00126020">
          <w:rPr>
            <w:rStyle w:val="Collegamentoipertestuale"/>
            <w:rFonts w:ascii="Arial" w:hAnsi="Arial" w:cs="Arial"/>
            <w:b/>
            <w:szCs w:val="21"/>
          </w:rPr>
          <w:t>D.lgs</w:t>
        </w:r>
        <w:proofErr w:type="spellEnd"/>
        <w:r w:rsidRPr="00126020">
          <w:rPr>
            <w:rStyle w:val="Collegamentoipertestuale"/>
            <w:rFonts w:ascii="Arial" w:hAnsi="Arial" w:cs="Arial"/>
            <w:b/>
            <w:szCs w:val="21"/>
          </w:rPr>
          <w:t xml:space="preserve"> n. 322/1989</w:t>
        </w:r>
      </w:hyperlink>
      <w:r w:rsidRPr="00881841">
        <w:rPr>
          <w:rFonts w:ascii="Arial" w:hAnsi="Arial" w:cs="Arial"/>
          <w:color w:val="000000"/>
          <w:szCs w:val="21"/>
        </w:rPr>
        <w:t>,</w:t>
      </w:r>
      <w:r>
        <w:rPr>
          <w:rFonts w:ascii="Arial" w:hAnsi="Arial" w:cs="Arial"/>
          <w:i/>
          <w:iCs/>
          <w:szCs w:val="21"/>
        </w:rPr>
        <w:t xml:space="preserve"> </w:t>
      </w:r>
      <w:r w:rsidRPr="00881841">
        <w:rPr>
          <w:rFonts w:ascii="Arial" w:hAnsi="Arial" w:cs="Arial"/>
          <w:color w:val="000000"/>
          <w:szCs w:val="21"/>
        </w:rPr>
        <w:t xml:space="preserve">che </w:t>
      </w:r>
      <w:r>
        <w:rPr>
          <w:rFonts w:ascii="Arial" w:hAnsi="Arial" w:cs="Arial"/>
          <w:color w:val="000000"/>
          <w:szCs w:val="21"/>
        </w:rPr>
        <w:t>disciplina le attività di rilevazione, elaborazione, analisi e diffusione e archiviazione dei dati statistici svolte dagli enti e organismi pubblici di informazione statistica, al fine di realizzare l’unità di indirizzo, l’omogeneità organizzativa e la razionalizzazione dei flussi a livello centrale e locale.</w:t>
      </w:r>
    </w:p>
    <w:p w:rsidR="00367107" w:rsidRPr="005F5A44" w:rsidRDefault="00367107" w:rsidP="00367107">
      <w:pPr>
        <w:spacing w:before="0" w:after="120"/>
        <w:jc w:val="both"/>
        <w:rPr>
          <w:rFonts w:ascii="Arial" w:hAnsi="Arial" w:cs="Arial"/>
          <w:sz w:val="16"/>
        </w:rPr>
      </w:pPr>
    </w:p>
    <w:p w:rsidR="00367107" w:rsidRPr="00C8504B" w:rsidRDefault="00367107" w:rsidP="00367107">
      <w:pPr>
        <w:spacing w:before="0" w:after="120"/>
        <w:jc w:val="both"/>
        <w:rPr>
          <w:rFonts w:ascii="Arial" w:hAnsi="Arial" w:cs="Arial"/>
          <w:b/>
          <w:sz w:val="22"/>
          <w:szCs w:val="22"/>
        </w:rPr>
      </w:pPr>
      <w:r w:rsidRPr="00C8504B">
        <w:rPr>
          <w:rFonts w:ascii="Arial" w:hAnsi="Arial" w:cs="Arial"/>
          <w:b/>
          <w:sz w:val="22"/>
          <w:szCs w:val="22"/>
        </w:rPr>
        <w:t xml:space="preserve">Copertura dell’indagine e organizzazione della rilevazione </w:t>
      </w:r>
    </w:p>
    <w:p w:rsidR="00367107" w:rsidRDefault="00367107" w:rsidP="00367107">
      <w:pPr>
        <w:spacing w:before="0" w:after="80"/>
        <w:jc w:val="both"/>
        <w:rPr>
          <w:rFonts w:ascii="Arial" w:hAnsi="Arial" w:cs="Arial"/>
          <w:szCs w:val="21"/>
        </w:rPr>
      </w:pPr>
      <w:r>
        <w:rPr>
          <w:rFonts w:ascii="Arial" w:hAnsi="Arial" w:cs="Arial"/>
          <w:szCs w:val="21"/>
        </w:rPr>
        <w:t xml:space="preserve">I dati che concorrono alla costruzione degli indici mensili dei prezzi al consumo sono raccolti attraverso l’utilizzo di una pluralità di fonti: la </w:t>
      </w:r>
      <w:r w:rsidRPr="00161B2D">
        <w:rPr>
          <w:rFonts w:ascii="Arial" w:hAnsi="Arial" w:cs="Arial"/>
          <w:i/>
          <w:szCs w:val="21"/>
        </w:rPr>
        <w:t>rilevazione territoriale</w:t>
      </w:r>
      <w:r>
        <w:rPr>
          <w:rFonts w:ascii="Arial" w:hAnsi="Arial" w:cs="Arial"/>
          <w:szCs w:val="21"/>
        </w:rPr>
        <w:t>, condotta dagli Uffici comunali di statistica (UCS);</w:t>
      </w:r>
      <w:r w:rsidRPr="005B714C">
        <w:rPr>
          <w:rFonts w:ascii="Arial" w:hAnsi="Arial" w:cs="Arial"/>
          <w:szCs w:val="21"/>
        </w:rPr>
        <w:t xml:space="preserve"> </w:t>
      </w:r>
      <w:r w:rsidRPr="00161B2D">
        <w:rPr>
          <w:rFonts w:ascii="Arial" w:hAnsi="Arial" w:cs="Arial"/>
          <w:szCs w:val="21"/>
        </w:rPr>
        <w:t xml:space="preserve">la </w:t>
      </w:r>
      <w:r w:rsidRPr="00161B2D">
        <w:rPr>
          <w:rFonts w:ascii="Arial" w:hAnsi="Arial" w:cs="Arial"/>
          <w:i/>
          <w:szCs w:val="21"/>
        </w:rPr>
        <w:t>rilevazione centralizzata</w:t>
      </w:r>
      <w:r w:rsidRPr="00161B2D">
        <w:rPr>
          <w:rFonts w:ascii="Arial" w:hAnsi="Arial" w:cs="Arial"/>
          <w:szCs w:val="21"/>
        </w:rPr>
        <w:t xml:space="preserve">, </w:t>
      </w:r>
      <w:r>
        <w:rPr>
          <w:rFonts w:ascii="Arial" w:hAnsi="Arial" w:cs="Arial"/>
          <w:szCs w:val="21"/>
        </w:rPr>
        <w:t xml:space="preserve">condotta dall’Istat </w:t>
      </w:r>
      <w:r w:rsidRPr="00161B2D">
        <w:rPr>
          <w:rFonts w:ascii="Arial" w:hAnsi="Arial" w:cs="Arial"/>
          <w:szCs w:val="21"/>
        </w:rPr>
        <w:t xml:space="preserve">direttamente </w:t>
      </w:r>
      <w:r>
        <w:rPr>
          <w:rFonts w:ascii="Arial" w:hAnsi="Arial" w:cs="Arial"/>
          <w:szCs w:val="21"/>
        </w:rPr>
        <w:t xml:space="preserve">o attraverso la collaborazione con grandi fornitori di dati; </w:t>
      </w:r>
      <w:proofErr w:type="gramStart"/>
      <w:r>
        <w:rPr>
          <w:rFonts w:ascii="Arial" w:hAnsi="Arial" w:cs="Arial"/>
          <w:szCs w:val="21"/>
        </w:rPr>
        <w:t xml:space="preserve">gli </w:t>
      </w:r>
      <w:r w:rsidRPr="00FA5D30">
        <w:rPr>
          <w:rFonts w:ascii="Arial" w:hAnsi="Arial" w:cs="Arial"/>
          <w:szCs w:val="21"/>
        </w:rPr>
        <w:t>scanner</w:t>
      </w:r>
      <w:proofErr w:type="gramEnd"/>
      <w:r w:rsidRPr="00FA5D30">
        <w:rPr>
          <w:rFonts w:ascii="Arial" w:hAnsi="Arial" w:cs="Arial"/>
          <w:szCs w:val="21"/>
        </w:rPr>
        <w:t xml:space="preserve"> data</w:t>
      </w:r>
      <w:r>
        <w:rPr>
          <w:rFonts w:ascii="Arial" w:hAnsi="Arial" w:cs="Arial"/>
          <w:szCs w:val="21"/>
        </w:rPr>
        <w:t xml:space="preserve"> provenienti dalla Grande Distribuzione Organizzata (GDO); la </w:t>
      </w:r>
      <w:r w:rsidRPr="001F3EF6">
        <w:rPr>
          <w:rFonts w:ascii="Arial" w:hAnsi="Arial" w:cs="Arial"/>
          <w:i/>
          <w:szCs w:val="21"/>
        </w:rPr>
        <w:t>fonte amministrativa</w:t>
      </w:r>
      <w:r>
        <w:rPr>
          <w:rFonts w:ascii="Arial" w:hAnsi="Arial" w:cs="Arial"/>
          <w:szCs w:val="21"/>
        </w:rPr>
        <w:t>.</w:t>
      </w:r>
      <w:r w:rsidRPr="00161B2D">
        <w:rPr>
          <w:rFonts w:ascii="Arial" w:hAnsi="Arial" w:cs="Arial"/>
          <w:szCs w:val="21"/>
        </w:rPr>
        <w:t xml:space="preserve"> </w:t>
      </w:r>
    </w:p>
    <w:p w:rsidR="00367107" w:rsidRPr="008A6A18" w:rsidRDefault="00152CFF" w:rsidP="00367107">
      <w:pPr>
        <w:jc w:val="both"/>
        <w:rPr>
          <w:rFonts w:ascii="Arial" w:hAnsi="Arial" w:cs="Arial"/>
          <w:szCs w:val="21"/>
        </w:rPr>
      </w:pPr>
      <w:r w:rsidRPr="001E01EB">
        <w:rPr>
          <w:rFonts w:ascii="Arial" w:hAnsi="Arial" w:cs="Arial"/>
          <w:szCs w:val="21"/>
        </w:rPr>
        <w:t>Nel 2022, i prodotti rilevati in modo esclusivo mediante la rilevazione territoriale ammontano, in termini di peso, a circa il 51,</w:t>
      </w:r>
      <w:r>
        <w:rPr>
          <w:rFonts w:ascii="Arial" w:hAnsi="Arial" w:cs="Arial"/>
          <w:szCs w:val="21"/>
        </w:rPr>
        <w:t>7</w:t>
      </w:r>
      <w:r w:rsidRPr="001E01EB">
        <w:rPr>
          <w:rFonts w:ascii="Arial" w:hAnsi="Arial" w:cs="Arial"/>
          <w:szCs w:val="21"/>
        </w:rPr>
        <w:t>% del paniere (dal 56,2% nel 2021), contro il 22,</w:t>
      </w:r>
      <w:r>
        <w:rPr>
          <w:rFonts w:ascii="Arial" w:hAnsi="Arial" w:cs="Arial"/>
          <w:szCs w:val="21"/>
        </w:rPr>
        <w:t>3</w:t>
      </w:r>
      <w:r w:rsidRPr="001E01EB">
        <w:rPr>
          <w:rFonts w:ascii="Arial" w:hAnsi="Arial" w:cs="Arial"/>
          <w:szCs w:val="21"/>
        </w:rPr>
        <w:t xml:space="preserve">% dei beni e servizi a rilevazione esclusivamente centralizzata (dal 22,8% nel 2021). Tramite l’acquisizione dei dati scanner dalla GDO vengono rilevati tutti i prodotti cosiddetti </w:t>
      </w:r>
      <w:r w:rsidRPr="00AD74D1">
        <w:rPr>
          <w:rFonts w:ascii="Arial" w:hAnsi="Arial" w:cs="Arial"/>
          <w:i/>
          <w:szCs w:val="21"/>
        </w:rPr>
        <w:t xml:space="preserve">grocery </w:t>
      </w:r>
      <w:r w:rsidRPr="00AD74D1">
        <w:rPr>
          <w:rFonts w:ascii="Arial" w:hAnsi="Arial" w:cs="Arial"/>
          <w:szCs w:val="21"/>
        </w:rPr>
        <w:t>(</w:t>
      </w:r>
      <w:r>
        <w:rPr>
          <w:rFonts w:ascii="Arial" w:hAnsi="Arial" w:cs="Arial"/>
          <w:szCs w:val="21"/>
        </w:rPr>
        <w:t>beni alimentari confezionati e beni per la cura della casa e della persona)</w:t>
      </w:r>
      <w:r w:rsidRPr="006D152C">
        <w:rPr>
          <w:rFonts w:ascii="Arial" w:hAnsi="Arial" w:cs="Arial"/>
          <w:szCs w:val="21"/>
        </w:rPr>
        <w:t>,</w:t>
      </w:r>
      <w:r w:rsidRPr="001E01EB">
        <w:rPr>
          <w:rFonts w:ascii="Arial" w:hAnsi="Arial" w:cs="Arial"/>
          <w:szCs w:val="21"/>
        </w:rPr>
        <w:t xml:space="preserve"> che rappresentano il </w:t>
      </w:r>
      <w:r>
        <w:rPr>
          <w:rFonts w:ascii="Arial" w:hAnsi="Arial" w:cs="Arial"/>
          <w:szCs w:val="21"/>
        </w:rPr>
        <w:t>12,9</w:t>
      </w:r>
      <w:r w:rsidRPr="001E01EB">
        <w:rPr>
          <w:rFonts w:ascii="Arial" w:hAnsi="Arial" w:cs="Arial"/>
          <w:szCs w:val="21"/>
        </w:rPr>
        <w:t>% in termini di peso. A queste tre modalità si aggiunge l’utilizzo delle fonti amministrative: la base dati</w:t>
      </w:r>
      <w:r>
        <w:rPr>
          <w:rFonts w:ascii="Arial" w:hAnsi="Arial" w:cs="Arial"/>
          <w:szCs w:val="21"/>
        </w:rPr>
        <w:t xml:space="preserve"> MISE dei prezzi dei carburanti,</w:t>
      </w:r>
      <w:r w:rsidRPr="001E01EB">
        <w:rPr>
          <w:rFonts w:ascii="Arial" w:hAnsi="Arial" w:cs="Arial"/>
          <w:szCs w:val="21"/>
        </w:rPr>
        <w:t xml:space="preserve"> che pesa per il 4,5% sul paniere, </w:t>
      </w:r>
      <w:r>
        <w:rPr>
          <w:rFonts w:ascii="Arial" w:hAnsi="Arial" w:cs="Arial"/>
          <w:szCs w:val="21"/>
        </w:rPr>
        <w:t>i dati forniti dall</w:t>
      </w:r>
      <w:r w:rsidRPr="001E01EB">
        <w:rPr>
          <w:rFonts w:ascii="Arial" w:hAnsi="Arial" w:cs="Arial"/>
          <w:szCs w:val="21"/>
        </w:rPr>
        <w:t>’Osservatorio immobiliare dell’Agenzia delle entrate (</w:t>
      </w:r>
      <w:r>
        <w:rPr>
          <w:rFonts w:ascii="Arial" w:hAnsi="Arial" w:cs="Arial"/>
          <w:szCs w:val="21"/>
        </w:rPr>
        <w:t>il cui utilizzo è stato avviato</w:t>
      </w:r>
      <w:r w:rsidRPr="001E01EB">
        <w:rPr>
          <w:rFonts w:ascii="Arial" w:hAnsi="Arial" w:cs="Arial"/>
          <w:szCs w:val="21"/>
        </w:rPr>
        <w:t xml:space="preserve"> quest’anno) per la rilevazione dei prezzi degli Affitti reali per abitazioni di privati che pesa per il 2,7% e l’Agenzia delle dogane e dei monopoli per la rilevazione dei tabacchi che incide sul paniere per il 2,</w:t>
      </w:r>
      <w:r>
        <w:rPr>
          <w:rFonts w:ascii="Arial" w:hAnsi="Arial" w:cs="Arial"/>
          <w:szCs w:val="21"/>
        </w:rPr>
        <w:t>2</w:t>
      </w:r>
      <w:r w:rsidRPr="001E01EB">
        <w:rPr>
          <w:rFonts w:ascii="Arial" w:hAnsi="Arial" w:cs="Arial"/>
          <w:szCs w:val="21"/>
        </w:rPr>
        <w:t>%. Infine per alcuni p</w:t>
      </w:r>
      <w:r>
        <w:rPr>
          <w:rFonts w:ascii="Arial" w:hAnsi="Arial" w:cs="Arial"/>
          <w:szCs w:val="21"/>
        </w:rPr>
        <w:t>rodotti, che incidono per il 3,7</w:t>
      </w:r>
      <w:r w:rsidRPr="001E01EB">
        <w:rPr>
          <w:rFonts w:ascii="Arial" w:hAnsi="Arial" w:cs="Arial"/>
          <w:szCs w:val="21"/>
        </w:rPr>
        <w:t>%, la rilevazione viene effettuata con modalità mista.</w:t>
      </w:r>
    </w:p>
    <w:p w:rsidR="00367107" w:rsidRDefault="00367107" w:rsidP="00367107">
      <w:pPr>
        <w:spacing w:before="0" w:after="120"/>
        <w:jc w:val="both"/>
        <w:rPr>
          <w:rFonts w:ascii="Arial" w:hAnsi="Arial" w:cs="Arial"/>
        </w:rPr>
      </w:pPr>
      <w:r>
        <w:rPr>
          <w:rFonts w:ascii="Arial" w:hAnsi="Arial" w:cs="Arial"/>
          <w:szCs w:val="21"/>
        </w:rPr>
        <w:t>Nel 2022 i comuni che concorrono al calcolo degli indici sono 80 per tutti gli aggregati di prodotto del paniere (di cui 19 capoluoghi di regione, 60 capoluoghi di provincia, 1 comune non capoluogo con più di 30.000 abitanti</w:t>
      </w:r>
      <w:r>
        <w:rPr>
          <w:rStyle w:val="Rimandonotaapidipagina"/>
          <w:rFonts w:ascii="Arial" w:hAnsi="Arial" w:cs="Arial"/>
          <w:szCs w:val="21"/>
        </w:rPr>
        <w:footnoteReference w:id="1"/>
      </w:r>
      <w:r>
        <w:rPr>
          <w:rFonts w:ascii="Arial" w:hAnsi="Arial" w:cs="Arial"/>
          <w:szCs w:val="21"/>
        </w:rPr>
        <w:t>); sono invece 12 i comuni</w:t>
      </w:r>
      <w:r>
        <w:rPr>
          <w:rStyle w:val="Rimandonotaapidipagina"/>
          <w:rFonts w:ascii="Arial" w:hAnsi="Arial"/>
          <w:szCs w:val="21"/>
        </w:rPr>
        <w:footnoteReference w:id="2"/>
      </w:r>
      <w:r>
        <w:rPr>
          <w:rFonts w:ascii="Arial" w:hAnsi="Arial" w:cs="Arial"/>
          <w:szCs w:val="21"/>
        </w:rPr>
        <w:t xml:space="preserve"> che partecipano al calcolo degli indici per un sottoinsieme di prodotti (</w:t>
      </w:r>
      <w:r>
        <w:rPr>
          <w:rFonts w:ascii="Arial" w:hAnsi="Arial" w:cs="Arial"/>
        </w:rPr>
        <w:t>tariffe locali quali fornitura acqua, raccolta rifiuti, raccolta acque reflue, gas di rete per uso domestico, trasporti urbani, taxi, mense scolastiche, nido d’infanzia comunale, e altri servizi come manifestazioni sportive, cinema, spettacoli teatrali, istruzione secondaria superiore, mense universitarie, ecc.).</w:t>
      </w:r>
    </w:p>
    <w:p w:rsidR="00367107" w:rsidRDefault="00367107" w:rsidP="00367107">
      <w:pPr>
        <w:widowControl/>
        <w:overflowPunct/>
        <w:spacing w:before="120" w:after="60"/>
        <w:jc w:val="both"/>
        <w:rPr>
          <w:rFonts w:ascii="Arial" w:hAnsi="Arial" w:cs="Arial"/>
          <w:szCs w:val="21"/>
        </w:rPr>
      </w:pPr>
    </w:p>
    <w:p w:rsidR="00367107" w:rsidRDefault="00367107" w:rsidP="00367107">
      <w:pPr>
        <w:widowControl/>
        <w:overflowPunct/>
        <w:spacing w:before="120" w:after="60"/>
        <w:jc w:val="both"/>
        <w:rPr>
          <w:rFonts w:ascii="Arial" w:hAnsi="Arial" w:cs="Arial"/>
          <w:szCs w:val="21"/>
        </w:rPr>
      </w:pPr>
      <w:r w:rsidRPr="008A6A18">
        <w:rPr>
          <w:rFonts w:ascii="Arial" w:hAnsi="Arial" w:cs="Arial"/>
          <w:szCs w:val="21"/>
        </w:rPr>
        <w:t>Nei 92 comuni (80 per il paniere completo e 12 per un sottoinsieme di prodotti) che partecipano nel 2022 alla rilevazione dei prezzi al consumo si contano 43mila unità di rilevazione (tra punti vendita, imprese e istituzioni) dove gli Uffici comunali di statistica monitorano il prezzo di almeno un prodotto; a queste si aggiungono quasi 2.200 le abitazioni per la rilevazione dei canoni di affitto d</w:t>
      </w:r>
      <w:r>
        <w:rPr>
          <w:rFonts w:ascii="Arial" w:hAnsi="Arial" w:cs="Arial"/>
          <w:szCs w:val="21"/>
        </w:rPr>
        <w:t>i abitazioni di Enti pubblici</w:t>
      </w:r>
      <w:r>
        <w:rPr>
          <w:rStyle w:val="Rimandonotaapidipagina"/>
          <w:rFonts w:ascii="Arial" w:hAnsi="Arial"/>
          <w:szCs w:val="21"/>
        </w:rPr>
        <w:footnoteReference w:id="3"/>
      </w:r>
      <w:r>
        <w:rPr>
          <w:rFonts w:ascii="Arial" w:hAnsi="Arial" w:cs="Arial"/>
          <w:szCs w:val="21"/>
        </w:rPr>
        <w:t xml:space="preserve">. </w:t>
      </w:r>
      <w:r w:rsidRPr="008A6A18">
        <w:rPr>
          <w:rFonts w:ascii="Arial" w:hAnsi="Arial" w:cs="Arial"/>
          <w:szCs w:val="21"/>
        </w:rPr>
        <w:t>Nel complesso sono circa 392mila le quotazioni che contribuiscono al calcolo dell’inflazione, inviate mensilmente all’Istat dagli Uffici comunali di statistica (erano 390mila del 2021). A seguito dell’aggiornamento annuale dei piani di rilevazione comunali sono nuove il 4,9% delle attuali referenze di prodotto (6,7% nel 2021): di queste, il 2,2% sono referenze di prodotti nuovi mentre nel restante 2,7% si tratta di referenze di prodotti già presenti nel paniere dello scorso anno.</w:t>
      </w:r>
    </w:p>
    <w:p w:rsidR="00367107" w:rsidRDefault="00367107" w:rsidP="00367107">
      <w:pPr>
        <w:widowControl/>
        <w:overflowPunct/>
        <w:spacing w:before="120" w:after="60"/>
        <w:jc w:val="both"/>
        <w:rPr>
          <w:rFonts w:ascii="Arial" w:hAnsi="Arial" w:cs="Arial"/>
          <w:kern w:val="0"/>
        </w:rPr>
      </w:pPr>
      <w:r w:rsidRPr="00243145">
        <w:rPr>
          <w:rFonts w:ascii="Arial" w:hAnsi="Arial" w:cs="Arial"/>
        </w:rPr>
        <w:t>Nel 20</w:t>
      </w:r>
      <w:r>
        <w:rPr>
          <w:rFonts w:ascii="Arial" w:hAnsi="Arial" w:cs="Arial"/>
        </w:rPr>
        <w:t>22</w:t>
      </w:r>
      <w:r w:rsidRPr="00243145">
        <w:rPr>
          <w:rFonts w:ascii="Arial" w:hAnsi="Arial" w:cs="Arial"/>
        </w:rPr>
        <w:t xml:space="preserve">, </w:t>
      </w:r>
      <w:r>
        <w:rPr>
          <w:rFonts w:ascii="Arial" w:hAnsi="Arial" w:cs="Arial"/>
        </w:rPr>
        <w:t>oltre</w:t>
      </w:r>
      <w:r w:rsidRPr="00243145">
        <w:rPr>
          <w:rFonts w:ascii="Arial" w:hAnsi="Arial" w:cs="Arial"/>
        </w:rPr>
        <w:t xml:space="preserve"> </w:t>
      </w:r>
      <w:r>
        <w:rPr>
          <w:rFonts w:ascii="Arial" w:hAnsi="Arial" w:cs="Arial"/>
        </w:rPr>
        <w:t>100mila</w:t>
      </w:r>
      <w:r w:rsidRPr="00243145">
        <w:rPr>
          <w:rFonts w:ascii="Arial" w:hAnsi="Arial" w:cs="Arial"/>
        </w:rPr>
        <w:t xml:space="preserve"> quotazioni di prezzo </w:t>
      </w:r>
      <w:r>
        <w:rPr>
          <w:rFonts w:ascii="Arial" w:hAnsi="Arial" w:cs="Arial"/>
        </w:rPr>
        <w:t xml:space="preserve">vengono </w:t>
      </w:r>
      <w:r w:rsidRPr="00243145">
        <w:rPr>
          <w:rFonts w:ascii="Arial" w:hAnsi="Arial" w:cs="Arial"/>
        </w:rPr>
        <w:t>raccolte ogni mese centralmente dall’Istat</w:t>
      </w:r>
      <w:r w:rsidRPr="003A6759">
        <w:rPr>
          <w:rFonts w:ascii="Arial" w:hAnsi="Arial" w:cs="Arial"/>
        </w:rPr>
        <w:t>.</w:t>
      </w:r>
      <w:r w:rsidRPr="00B929DD">
        <w:rPr>
          <w:rFonts w:ascii="Arial" w:hAnsi="Arial" w:cs="Arial"/>
        </w:rPr>
        <w:t xml:space="preserve"> Di queste </w:t>
      </w:r>
      <w:r>
        <w:rPr>
          <w:rFonts w:ascii="Arial" w:hAnsi="Arial" w:cs="Arial"/>
          <w:kern w:val="0"/>
        </w:rPr>
        <w:t>quasi</w:t>
      </w:r>
      <w:r w:rsidRPr="00B929DD">
        <w:rPr>
          <w:rFonts w:ascii="Arial" w:hAnsi="Arial" w:cs="Arial"/>
          <w:kern w:val="0"/>
        </w:rPr>
        <w:t xml:space="preserve"> </w:t>
      </w:r>
      <w:r>
        <w:rPr>
          <w:rFonts w:ascii="Arial" w:hAnsi="Arial" w:cs="Arial"/>
          <w:kern w:val="0"/>
        </w:rPr>
        <w:t>100mila</w:t>
      </w:r>
      <w:r w:rsidRPr="00B929DD">
        <w:rPr>
          <w:rFonts w:ascii="Arial" w:hAnsi="Arial" w:cs="Arial"/>
          <w:kern w:val="0"/>
        </w:rPr>
        <w:t xml:space="preserve"> </w:t>
      </w:r>
      <w:r>
        <w:rPr>
          <w:rFonts w:ascii="Arial" w:hAnsi="Arial" w:cs="Arial"/>
          <w:kern w:val="0"/>
        </w:rPr>
        <w:t xml:space="preserve">sono </w:t>
      </w:r>
      <w:r w:rsidRPr="00B929DD">
        <w:rPr>
          <w:rFonts w:ascii="Arial" w:hAnsi="Arial" w:cs="Arial"/>
          <w:kern w:val="0"/>
        </w:rPr>
        <w:t xml:space="preserve">acquisite tramite web, anche con l’utilizzo di procedure di raccolta automatica dei dati da web (tecniche di </w:t>
      </w:r>
      <w:r w:rsidRPr="00B929DD">
        <w:rPr>
          <w:rFonts w:ascii="Arial" w:hAnsi="Arial" w:cs="Arial"/>
          <w:i/>
          <w:kern w:val="0"/>
        </w:rPr>
        <w:t>web scraping</w:t>
      </w:r>
      <w:r w:rsidRPr="00B929DD">
        <w:rPr>
          <w:rFonts w:ascii="Arial" w:hAnsi="Arial" w:cs="Arial"/>
          <w:kern w:val="0"/>
        </w:rPr>
        <w:t>)</w:t>
      </w:r>
      <w:r>
        <w:rPr>
          <w:rFonts w:ascii="Arial" w:hAnsi="Arial" w:cs="Arial"/>
          <w:kern w:val="0"/>
        </w:rPr>
        <w:t>,</w:t>
      </w:r>
      <w:r w:rsidRPr="00B929DD">
        <w:rPr>
          <w:rFonts w:ascii="Arial" w:hAnsi="Arial" w:cs="Arial"/>
          <w:i/>
          <w:kern w:val="0"/>
        </w:rPr>
        <w:t xml:space="preserve"> </w:t>
      </w:r>
      <w:r w:rsidRPr="00B929DD">
        <w:rPr>
          <w:rFonts w:ascii="Arial" w:hAnsi="Arial" w:cs="Arial"/>
          <w:kern w:val="0"/>
        </w:rPr>
        <w:t>circa 400</w:t>
      </w:r>
      <w:r>
        <w:rPr>
          <w:rFonts w:ascii="Arial" w:hAnsi="Arial" w:cs="Arial"/>
          <w:kern w:val="0"/>
        </w:rPr>
        <w:t xml:space="preserve"> vengono</w:t>
      </w:r>
      <w:r w:rsidRPr="00B929DD">
        <w:rPr>
          <w:rFonts w:ascii="Arial" w:hAnsi="Arial" w:cs="Arial"/>
          <w:kern w:val="0"/>
        </w:rPr>
        <w:t xml:space="preserve"> rilevate mediante indagine diretta presso le imprese di assicurazione per la rilevazione dei prezzi </w:t>
      </w:r>
      <w:r w:rsidRPr="00B929DD">
        <w:rPr>
          <w:rFonts w:ascii="Arial" w:hAnsi="Arial" w:cs="Arial"/>
          <w:szCs w:val="21"/>
        </w:rPr>
        <w:t>dei servizi assicurativi sull’abitazione</w:t>
      </w:r>
      <w:r>
        <w:rPr>
          <w:rFonts w:ascii="Arial" w:hAnsi="Arial" w:cs="Arial"/>
          <w:kern w:val="0"/>
        </w:rPr>
        <w:t xml:space="preserve"> e oltre 7</w:t>
      </w:r>
      <w:r w:rsidRPr="003A6759">
        <w:rPr>
          <w:rFonts w:ascii="Arial" w:hAnsi="Arial" w:cs="Arial"/>
          <w:kern w:val="0"/>
        </w:rPr>
        <w:t xml:space="preserve">00 </w:t>
      </w:r>
      <w:r>
        <w:rPr>
          <w:rFonts w:ascii="Arial" w:hAnsi="Arial" w:cs="Arial"/>
          <w:kern w:val="0"/>
        </w:rPr>
        <w:t xml:space="preserve">sono </w:t>
      </w:r>
      <w:r w:rsidRPr="003A6759">
        <w:rPr>
          <w:rFonts w:ascii="Arial" w:hAnsi="Arial" w:cs="Arial"/>
          <w:kern w:val="0"/>
        </w:rPr>
        <w:t>rilevate da fonti interne.</w:t>
      </w:r>
    </w:p>
    <w:p w:rsidR="00367107" w:rsidRPr="00841D46" w:rsidRDefault="00367107" w:rsidP="00367107">
      <w:pPr>
        <w:widowControl/>
        <w:spacing w:before="0" w:after="120"/>
        <w:jc w:val="both"/>
        <w:rPr>
          <w:rFonts w:ascii="Arial" w:hAnsi="Arial" w:cs="Arial"/>
          <w:szCs w:val="21"/>
        </w:rPr>
      </w:pPr>
      <w:r w:rsidRPr="008A6A18">
        <w:rPr>
          <w:rFonts w:ascii="Arial" w:hAnsi="Arial" w:cs="Arial"/>
          <w:szCs w:val="21"/>
        </w:rPr>
        <w:t xml:space="preserve">La rilevazione dei prezzi al consumo tramite scanner data interessa cinque tipologie distributive della Grande Distribuzione Organizzata: ipermercati, supermercati, discount, piccole superfici di vendita (note anche come “libero servizio”, punti vendita con superficie compresa tra i 100 e i 400 mq) e </w:t>
      </w:r>
      <w:proofErr w:type="spellStart"/>
      <w:r w:rsidRPr="008A6A18">
        <w:rPr>
          <w:rFonts w:ascii="Arial" w:hAnsi="Arial" w:cs="Arial"/>
          <w:szCs w:val="21"/>
        </w:rPr>
        <w:t>specialist</w:t>
      </w:r>
      <w:proofErr w:type="spellEnd"/>
      <w:r w:rsidRPr="008A6A18">
        <w:rPr>
          <w:rFonts w:ascii="Arial" w:hAnsi="Arial" w:cs="Arial"/>
          <w:szCs w:val="21"/>
        </w:rPr>
        <w:t xml:space="preserve"> </w:t>
      </w:r>
      <w:proofErr w:type="spellStart"/>
      <w:r w:rsidRPr="008A6A18">
        <w:rPr>
          <w:rFonts w:ascii="Arial" w:hAnsi="Arial" w:cs="Arial"/>
          <w:szCs w:val="21"/>
        </w:rPr>
        <w:t>drug</w:t>
      </w:r>
      <w:proofErr w:type="spellEnd"/>
      <w:r w:rsidRPr="008A6A18">
        <w:rPr>
          <w:rFonts w:ascii="Arial" w:hAnsi="Arial" w:cs="Arial"/>
          <w:szCs w:val="21"/>
        </w:rPr>
        <w:t xml:space="preserve"> (specialisti dei prodotti per la cura della casa e della persona). Nel complesso, la rilevazione dei prezzi tramite scanner data interessa 84 aggregati di prodotto, appartenenti a sei divisioni della ECOICOP (Prodotti alimentari e bevande analcoliche, Bevande alcoliche e tabacchi, Mobili articoli e servizi per la casa, Servizi sanitari e spese per la salute, Ricreazione spettacoli e cultura, Altri beni e servizi).</w:t>
      </w:r>
    </w:p>
    <w:p w:rsidR="00367107" w:rsidRPr="008A6A18" w:rsidRDefault="00367107" w:rsidP="00367107">
      <w:pPr>
        <w:widowControl/>
        <w:overflowPunct/>
        <w:spacing w:before="0" w:after="120"/>
        <w:jc w:val="both"/>
        <w:rPr>
          <w:rFonts w:ascii="Arial" w:hAnsi="Arial" w:cs="Arial"/>
          <w:szCs w:val="21"/>
        </w:rPr>
      </w:pPr>
      <w:r w:rsidRPr="008A6A18">
        <w:rPr>
          <w:rFonts w:ascii="Arial" w:hAnsi="Arial" w:cs="Arial"/>
          <w:szCs w:val="21"/>
        </w:rPr>
        <w:t>L’Istat acquisisce i dati settimanali di fatturato e quantità distinti per punto vendita e per GTIN (codice a barre), per singolo punto vendita di 21 grandi gruppi della GDO in Italia per tutte le 107 province del territorio nazionale. Il campione dei punti vendita è rappresentativo di tutto l’universo delle cinque tipologie distributive della GDO e comprende circa 4mila punti vendita distribuiti sull’intero territorio nazionale.</w:t>
      </w:r>
    </w:p>
    <w:p w:rsidR="00367107" w:rsidRPr="008A6A18" w:rsidRDefault="00367107" w:rsidP="00367107">
      <w:pPr>
        <w:widowControl/>
        <w:overflowPunct/>
        <w:spacing w:before="0" w:after="120"/>
        <w:jc w:val="both"/>
        <w:rPr>
          <w:rFonts w:ascii="Arial" w:hAnsi="Arial" w:cs="Arial"/>
          <w:szCs w:val="21"/>
        </w:rPr>
      </w:pPr>
      <w:r w:rsidRPr="008A6A18">
        <w:rPr>
          <w:rFonts w:ascii="Arial" w:hAnsi="Arial" w:cs="Arial"/>
          <w:szCs w:val="21"/>
        </w:rPr>
        <w:t>L’individuazione delle referenze che entrano nel calcolo dell’indice avviene tramite i codici a barre (GTIN), che identificano univocamente i prodotti sull’intero territorio nazionale. Il valore unitario del prezzo per ciascun codice a barre è la media dei prezzi effettivamente pagati dai consumatori per quei prodotti.</w:t>
      </w:r>
      <w:r>
        <w:rPr>
          <w:rFonts w:ascii="Arial" w:hAnsi="Arial" w:cs="Arial"/>
          <w:szCs w:val="21"/>
        </w:rPr>
        <w:t xml:space="preserve"> </w:t>
      </w:r>
      <w:r w:rsidRPr="008A6A18">
        <w:rPr>
          <w:rFonts w:ascii="Arial" w:hAnsi="Arial" w:cs="Arial"/>
          <w:szCs w:val="21"/>
        </w:rPr>
        <w:t>Per la selezione delle referenze, l’Istat utilizza un approccio di tipo dinamico che implica una selezione del campione di referenze in ciascun mese. L’approccio dinamico permette di utilizzare l’informazione proveniente dall’universo dei GTIN venduti in ciascun punto vendita e di seguire l’evoluzione dei prodotti che entrano ed escono dal mercato nei dodici mesi dell’anno.</w:t>
      </w:r>
    </w:p>
    <w:p w:rsidR="00367107" w:rsidRDefault="00367107" w:rsidP="00367107">
      <w:pPr>
        <w:widowControl/>
        <w:overflowPunct/>
        <w:spacing w:before="0" w:after="120"/>
        <w:jc w:val="both"/>
        <w:rPr>
          <w:rFonts w:ascii="Arial" w:hAnsi="Arial" w:cs="Arial"/>
          <w:szCs w:val="21"/>
        </w:rPr>
      </w:pPr>
      <w:r w:rsidRPr="008A6A18">
        <w:rPr>
          <w:rFonts w:ascii="Arial" w:hAnsi="Arial" w:cs="Arial"/>
          <w:szCs w:val="21"/>
        </w:rPr>
        <w:t>Nel complesso, per ciascuna settimana, si utilizzano per il calcolo degli indici oltre 19 milioni di referenze il cui prezzo settimanale viene calcolato sulla base dei dati di fatturato e quantità vendute in ciascun punto vendita e relative a circa 240 mila GTIN distinti. A seguito della selezione dinamica contribuiscono quindi mediamente ogni mese al calcolo degli indici oltre 11 milioni di referenze, per un totale di oltre 30 milioni di quotazioni di prezzo.</w:t>
      </w:r>
    </w:p>
    <w:p w:rsidR="00367107" w:rsidRPr="002A49A5" w:rsidRDefault="00367107" w:rsidP="00367107">
      <w:pPr>
        <w:widowControl/>
        <w:overflowPunct/>
        <w:spacing w:before="0" w:after="120"/>
        <w:jc w:val="both"/>
        <w:rPr>
          <w:rFonts w:ascii="Arial" w:hAnsi="Arial" w:cs="Arial"/>
          <w:kern w:val="0"/>
        </w:rPr>
      </w:pPr>
      <w:r w:rsidRPr="002A49A5">
        <w:rPr>
          <w:rFonts w:ascii="Arial" w:hAnsi="Arial" w:cs="Arial"/>
          <w:kern w:val="0"/>
        </w:rPr>
        <w:t xml:space="preserve">Le rilevazioni di fonte amministrativa per il calcolo dei prezzi al consumo sono diverse. Tra queste rientrano quelle relative ai Tabacchi i cui dati sono forniti dall’Agenzia delle accise, dogane e monopoli (ADM). Gli indici calcolati sono relativi a tre aggregati di prodotto: Sigarette, Sigari e sigaretti e Altri tabacchi (trinciati per sigarette, tabacco da fiuto e da mastico, altri tabacchi da fumo, tabacchi da inalazione). </w:t>
      </w:r>
    </w:p>
    <w:p w:rsidR="00367107" w:rsidRPr="002A49A5" w:rsidRDefault="00367107" w:rsidP="00367107">
      <w:pPr>
        <w:widowControl/>
        <w:overflowPunct/>
        <w:spacing w:before="0" w:after="120"/>
        <w:jc w:val="both"/>
        <w:rPr>
          <w:rFonts w:ascii="Arial" w:hAnsi="Arial" w:cs="Arial"/>
          <w:kern w:val="0"/>
        </w:rPr>
      </w:pPr>
      <w:r w:rsidRPr="002A49A5">
        <w:rPr>
          <w:rFonts w:ascii="Arial" w:hAnsi="Arial" w:cs="Arial"/>
          <w:kern w:val="0"/>
        </w:rPr>
        <w:t xml:space="preserve">Dal 2017 anche per i prezzi al consumo dei carburanti si utilizzano dati di fonte amministrativa, grazie a un accordo siglato con il Ministero dello Sviluppo economico (MISE) che, in ottemperanza alla normativa vigente, raccoglie i dati </w:t>
      </w:r>
      <w:r>
        <w:rPr>
          <w:rFonts w:ascii="Arial" w:hAnsi="Arial" w:cs="Arial"/>
          <w:kern w:val="0"/>
        </w:rPr>
        <w:t xml:space="preserve">sui prezzi di questi prodotti. </w:t>
      </w:r>
      <w:r w:rsidRPr="002A49A5">
        <w:rPr>
          <w:rFonts w:ascii="Arial" w:hAnsi="Arial" w:cs="Arial"/>
          <w:kern w:val="0"/>
        </w:rPr>
        <w:t>Nel 2022 l’indice è calcolato attraverso l’elaborazione di 68mila osservazioni di prezzo al mese, provenienti da oltre 12.800 impianti, pari al 66,8% di quelli attivi e presenti nella banca dati del MISE. La copertura dei distributori di carburanti per area territoriale comprende</w:t>
      </w:r>
      <w:r w:rsidR="00D048C7">
        <w:rPr>
          <w:rFonts w:ascii="Arial" w:hAnsi="Arial" w:cs="Arial"/>
          <w:kern w:val="0"/>
        </w:rPr>
        <w:t xml:space="preserve"> oltre 3.200 impianti nel Nord-Ovest, circa 2.800 nel Nord-E</w:t>
      </w:r>
      <w:r w:rsidRPr="002A49A5">
        <w:rPr>
          <w:rFonts w:ascii="Arial" w:hAnsi="Arial" w:cs="Arial"/>
          <w:kern w:val="0"/>
        </w:rPr>
        <w:t>st, quasi 2.900 nel Centro, oltre 2.800 al Sud e quasi 1.200 nelle Isole.</w:t>
      </w:r>
      <w:r>
        <w:rPr>
          <w:rFonts w:ascii="Arial" w:hAnsi="Arial" w:cs="Arial"/>
          <w:kern w:val="0"/>
        </w:rPr>
        <w:t xml:space="preserve"> </w:t>
      </w:r>
      <w:r w:rsidRPr="002A49A5">
        <w:rPr>
          <w:rFonts w:ascii="Arial" w:hAnsi="Arial" w:cs="Arial"/>
          <w:kern w:val="0"/>
        </w:rPr>
        <w:t>I dati del Ministero dello Sviluppo economico coprono i 4 aggregati di prodotto riferiti ai carburanti per autotrazione che compongono il paniere: Benzina, Gasolio per mezzi di trasporto, Gas GPL e Gas metano per autotrazione.</w:t>
      </w:r>
    </w:p>
    <w:p w:rsidR="00367107" w:rsidRDefault="00367107" w:rsidP="00367107">
      <w:pPr>
        <w:widowControl/>
        <w:overflowPunct/>
        <w:spacing w:before="0" w:after="120"/>
        <w:jc w:val="both"/>
        <w:rPr>
          <w:rFonts w:ascii="Arial" w:hAnsi="Arial" w:cs="Arial"/>
          <w:kern w:val="0"/>
        </w:rPr>
      </w:pPr>
      <w:r w:rsidRPr="002A49A5">
        <w:rPr>
          <w:rFonts w:ascii="Arial" w:hAnsi="Arial" w:cs="Arial"/>
          <w:kern w:val="0"/>
        </w:rPr>
        <w:t>Infine, a partire dal 2022 la rilevazione sui canoni di affitto per le abitazioni di proprietà privata viene effettuata dall’Istat utilizzando la base dati locazioni immobiliari dell’Osservatorio del mercato immobiliare dell’Agenzia delle entrate. L’indice viene elaborato mensilmente utilizzando circa un milione e mezzo di canoni di affitto.</w:t>
      </w:r>
    </w:p>
    <w:p w:rsidR="00367107" w:rsidRDefault="00367107" w:rsidP="00367107">
      <w:pPr>
        <w:widowControl/>
        <w:overflowPunct/>
        <w:spacing w:before="0" w:after="120"/>
        <w:jc w:val="both"/>
        <w:rPr>
          <w:rFonts w:ascii="Arial" w:hAnsi="Arial" w:cs="Arial"/>
          <w:kern w:val="0"/>
        </w:rPr>
      </w:pPr>
    </w:p>
    <w:p w:rsidR="00367107" w:rsidRDefault="00367107" w:rsidP="00367107">
      <w:pPr>
        <w:widowControl/>
        <w:overflowPunct/>
        <w:spacing w:before="0" w:after="120"/>
        <w:jc w:val="both"/>
        <w:rPr>
          <w:rFonts w:ascii="Arial" w:hAnsi="Arial" w:cs="Arial"/>
          <w:kern w:val="0"/>
        </w:rPr>
      </w:pPr>
    </w:p>
    <w:p w:rsidR="00367107" w:rsidRPr="00B929DD" w:rsidRDefault="00367107" w:rsidP="00367107">
      <w:pPr>
        <w:widowControl/>
        <w:overflowPunct/>
        <w:spacing w:before="0" w:after="120"/>
        <w:jc w:val="both"/>
        <w:rPr>
          <w:rFonts w:ascii="Arial" w:hAnsi="Arial" w:cs="Arial"/>
          <w:kern w:val="0"/>
        </w:rPr>
      </w:pPr>
    </w:p>
    <w:p w:rsidR="00367107" w:rsidRPr="00C8504B" w:rsidRDefault="00367107" w:rsidP="00367107">
      <w:pPr>
        <w:spacing w:before="0" w:after="120"/>
        <w:jc w:val="both"/>
        <w:rPr>
          <w:rFonts w:ascii="Arial" w:hAnsi="Arial" w:cs="Arial"/>
          <w:b/>
          <w:sz w:val="6"/>
          <w:szCs w:val="6"/>
        </w:rPr>
      </w:pPr>
      <w:r w:rsidRPr="00C8504B">
        <w:rPr>
          <w:rFonts w:ascii="Arial" w:hAnsi="Arial" w:cs="Arial"/>
          <w:b/>
          <w:sz w:val="22"/>
          <w:szCs w:val="22"/>
        </w:rPr>
        <w:t>Metodologia di calcolo degli indici e delle variazioni</w:t>
      </w:r>
    </w:p>
    <w:p w:rsidR="00367107" w:rsidRPr="00C8504B" w:rsidRDefault="00367107" w:rsidP="00367107">
      <w:pPr>
        <w:spacing w:before="0" w:after="120"/>
        <w:jc w:val="both"/>
        <w:rPr>
          <w:rFonts w:ascii="Arial" w:hAnsi="Arial" w:cs="Arial"/>
          <w:b/>
          <w:sz w:val="18"/>
          <w:szCs w:val="18"/>
        </w:rPr>
      </w:pPr>
      <w:r w:rsidRPr="00C8504B">
        <w:rPr>
          <w:rFonts w:ascii="Arial" w:hAnsi="Arial" w:cs="Arial"/>
          <w:b/>
        </w:rPr>
        <w:t xml:space="preserve">Struttura di ponderazione </w:t>
      </w:r>
    </w:p>
    <w:p w:rsidR="00367107" w:rsidRDefault="00367107" w:rsidP="00367107">
      <w:pPr>
        <w:tabs>
          <w:tab w:val="left" w:pos="10206"/>
        </w:tabs>
        <w:spacing w:before="0" w:after="120"/>
        <w:jc w:val="both"/>
        <w:rPr>
          <w:rFonts w:ascii="Arial" w:hAnsi="Arial" w:cs="Arial"/>
          <w:szCs w:val="21"/>
        </w:rPr>
      </w:pPr>
      <w:r>
        <w:rPr>
          <w:rFonts w:ascii="Arial" w:hAnsi="Arial" w:cs="Arial"/>
          <w:szCs w:val="21"/>
        </w:rPr>
        <w:t>N</w:t>
      </w:r>
      <w:r w:rsidRPr="002A6B23">
        <w:rPr>
          <w:rFonts w:ascii="Arial" w:hAnsi="Arial" w:cs="Arial"/>
          <w:szCs w:val="21"/>
        </w:rPr>
        <w:t xml:space="preserve">on tutti i beni e i servizi che entrano nel paniere hanno la stessa importanza nei consumi della popolazione. </w:t>
      </w:r>
      <w:r>
        <w:rPr>
          <w:rFonts w:ascii="Arial" w:hAnsi="Arial" w:cs="Arial"/>
          <w:szCs w:val="21"/>
        </w:rPr>
        <w:t>Di conseguenza, l</w:t>
      </w:r>
      <w:r w:rsidRPr="002A6B23">
        <w:rPr>
          <w:rFonts w:ascii="Arial" w:hAnsi="Arial" w:cs="Arial"/>
          <w:szCs w:val="21"/>
        </w:rPr>
        <w:t>’esigenza di misurare il livello dei prezzi e la loro dinamica temporale attraverso indicatori di sintesi richiede la definizione di un sistema di ponderazione che consenta di elaborare tali indicatori tenendo conto della diversa rilevanza che i singoli prodotti assumono sulla spesa complessiva per consumi delle famiglie.</w:t>
      </w:r>
    </w:p>
    <w:p w:rsidR="00367107" w:rsidRPr="007F5CA7" w:rsidRDefault="00367107" w:rsidP="00367107">
      <w:pPr>
        <w:tabs>
          <w:tab w:val="left" w:pos="10206"/>
        </w:tabs>
        <w:spacing w:before="0" w:after="120"/>
        <w:jc w:val="both"/>
        <w:rPr>
          <w:rFonts w:ascii="Arial" w:hAnsi="Arial" w:cs="Arial"/>
          <w:szCs w:val="21"/>
        </w:rPr>
      </w:pPr>
      <w:r w:rsidRPr="007F5CA7">
        <w:rPr>
          <w:rFonts w:ascii="Arial" w:hAnsi="Arial" w:cs="Arial"/>
          <w:szCs w:val="21"/>
        </w:rPr>
        <w:t xml:space="preserve">Ogni anno, i coefficienti di ponderazione degli indici sono aggiornati per tener conto dell’evoluzione dei consumi finali delle famiglie, come risulta dalle stime della Contabilità nazionale dell’Istat e dell’indagine sulle Spese delle famiglie, oltre che dai dati provenienti da altre fonti ausiliarie interne e esterne all’Istituto, tra le quali le basi dati di importanti società di analisi e ricerche di mercato, quali A.C. Nielsen e </w:t>
      </w:r>
      <w:proofErr w:type="spellStart"/>
      <w:r w:rsidRPr="007F5CA7">
        <w:rPr>
          <w:rFonts w:ascii="Arial" w:hAnsi="Arial" w:cs="Arial"/>
          <w:szCs w:val="21"/>
        </w:rPr>
        <w:t>GfK</w:t>
      </w:r>
      <w:proofErr w:type="spellEnd"/>
      <w:r w:rsidRPr="007F5CA7">
        <w:rPr>
          <w:rFonts w:ascii="Arial" w:hAnsi="Arial" w:cs="Arial"/>
          <w:szCs w:val="21"/>
        </w:rPr>
        <w:t xml:space="preserve"> Italia </w:t>
      </w:r>
      <w:proofErr w:type="gramStart"/>
      <w:r w:rsidRPr="007F5CA7">
        <w:rPr>
          <w:rFonts w:ascii="Arial" w:hAnsi="Arial" w:cs="Arial"/>
          <w:szCs w:val="21"/>
        </w:rPr>
        <w:t>S.r.l..</w:t>
      </w:r>
      <w:proofErr w:type="gramEnd"/>
    </w:p>
    <w:p w:rsidR="00367107" w:rsidRDefault="00367107" w:rsidP="00367107">
      <w:pPr>
        <w:tabs>
          <w:tab w:val="left" w:pos="10206"/>
        </w:tabs>
        <w:spacing w:before="0" w:after="120"/>
        <w:jc w:val="both"/>
        <w:rPr>
          <w:rFonts w:ascii="Arial" w:hAnsi="Arial" w:cs="Arial"/>
          <w:szCs w:val="21"/>
        </w:rPr>
      </w:pPr>
      <w:r w:rsidRPr="007F5CA7">
        <w:rPr>
          <w:rFonts w:ascii="Arial" w:hAnsi="Arial" w:cs="Arial"/>
          <w:szCs w:val="21"/>
        </w:rPr>
        <w:t xml:space="preserve">Tale operazione garantisce che il sistema dei pesi utilizzato per la stima dell’inflazione mantenga elevato nel tempo il suo grado di rappresentatività delle quote di spesa che i consumatori destinano all’acquisto dei beni e servizi finali. </w:t>
      </w:r>
    </w:p>
    <w:p w:rsidR="00C90E80" w:rsidRDefault="00C90E80" w:rsidP="00C90E80">
      <w:pPr>
        <w:tabs>
          <w:tab w:val="left" w:pos="10206"/>
        </w:tabs>
        <w:spacing w:before="0" w:after="120"/>
        <w:jc w:val="both"/>
        <w:rPr>
          <w:rFonts w:ascii="Arial" w:hAnsi="Arial" w:cs="Arial"/>
          <w:szCs w:val="21"/>
        </w:rPr>
      </w:pPr>
      <w:r w:rsidRPr="003F5B16">
        <w:rPr>
          <w:rFonts w:ascii="Arial" w:hAnsi="Arial" w:cs="Arial"/>
          <w:szCs w:val="21"/>
        </w:rPr>
        <w:t xml:space="preserve">È da rilevare che lo scorso anno, in un quadro di relativa attenuazione dell’emergenza sanitaria dovuta al Covid-19, le spese delle famiglie sono state influenzate in misura minore rispetto al 2020 dagli effetti delle misure di contenimento della pandemia. Pertanto, </w:t>
      </w:r>
      <w:r>
        <w:rPr>
          <w:rFonts w:ascii="Arial" w:hAnsi="Arial" w:cs="Arial"/>
          <w:szCs w:val="21"/>
        </w:rPr>
        <w:t>analogamente a quanto</w:t>
      </w:r>
      <w:r w:rsidRPr="003F5B16">
        <w:rPr>
          <w:rFonts w:ascii="Arial" w:hAnsi="Arial" w:cs="Arial"/>
          <w:szCs w:val="21"/>
        </w:rPr>
        <w:t xml:space="preserve"> fatto per il paniere 2021, al fine di salvaguardare la coerenza tra la struttura di ponderazione degli indici e quella dei bilanci delle famiglie, e nel rispetto delle linee guida Eurostat, anche nel 2022 per la revisione dei pesi sono stati utilizzati i dati delle principali fonti interne più recenti a disposizione: le stime della Contabilità nazionale e le informazioni della indagine sulle Spese del famiglie relative al 2021</w:t>
      </w:r>
      <w:r w:rsidRPr="00B8724C">
        <w:rPr>
          <w:rStyle w:val="Rimandonotaapidipagina"/>
          <w:rFonts w:ascii="Arial" w:hAnsi="Arial" w:cs="Arial"/>
        </w:rPr>
        <w:footnoteReference w:id="4"/>
      </w:r>
      <w:r w:rsidRPr="00B8724C">
        <w:rPr>
          <w:rFonts w:ascii="Arial" w:hAnsi="Arial" w:cs="Arial"/>
          <w:szCs w:val="21"/>
        </w:rPr>
        <w:t>.</w:t>
      </w:r>
      <w:r w:rsidRPr="007F5CA7">
        <w:rPr>
          <w:rFonts w:ascii="Arial" w:hAnsi="Arial" w:cs="Arial"/>
          <w:szCs w:val="21"/>
        </w:rPr>
        <w:t xml:space="preserve"> </w:t>
      </w:r>
    </w:p>
    <w:p w:rsidR="00C90E80" w:rsidRPr="003F5B16" w:rsidRDefault="00C90E80" w:rsidP="00C90E80">
      <w:pPr>
        <w:tabs>
          <w:tab w:val="left" w:pos="10206"/>
        </w:tabs>
        <w:spacing w:before="0" w:after="120"/>
        <w:jc w:val="both"/>
        <w:rPr>
          <w:rFonts w:ascii="Arial" w:hAnsi="Arial" w:cs="Arial"/>
        </w:rPr>
      </w:pPr>
      <w:r w:rsidRPr="003F5B16">
        <w:rPr>
          <w:rFonts w:ascii="Arial" w:hAnsi="Arial" w:cs="Arial"/>
        </w:rPr>
        <w:t xml:space="preserve">Per ragioni di tempestività, il sistema dei pesi usato per la stima preliminare dell’inflazione di gennaio 2022 è stato calcolato sulla base dei dati della Contabilità nazionale disponibili a dicembre scorso, relativi ai primi tre trimestri dell’anno. </w:t>
      </w:r>
    </w:p>
    <w:p w:rsidR="00C90E80" w:rsidRPr="007F5CA7" w:rsidRDefault="00C90E80" w:rsidP="00C90E80">
      <w:pPr>
        <w:tabs>
          <w:tab w:val="left" w:pos="10206"/>
        </w:tabs>
        <w:spacing w:before="0" w:after="120"/>
        <w:jc w:val="both"/>
        <w:rPr>
          <w:rFonts w:ascii="Arial" w:hAnsi="Arial" w:cs="Arial"/>
          <w:szCs w:val="21"/>
        </w:rPr>
      </w:pPr>
      <w:r w:rsidRPr="003F5B16">
        <w:rPr>
          <w:rFonts w:ascii="Arial" w:hAnsi="Arial" w:cs="Arial"/>
        </w:rPr>
        <w:t>L’ampliamento della base informativa, a copertura dell’intero anno solare, ha poi consentito un ulteriore raffinamento delle strutture di ponderazione in occasione del rilascio delle stime definitive.</w:t>
      </w:r>
      <w:r>
        <w:rPr>
          <w:rFonts w:ascii="Arial" w:hAnsi="Arial" w:cs="Arial"/>
        </w:rPr>
        <w:t xml:space="preserve"> </w:t>
      </w:r>
      <w:r w:rsidRPr="00501BF7">
        <w:rPr>
          <w:rFonts w:ascii="Arial" w:hAnsi="Arial" w:cs="Arial"/>
        </w:rPr>
        <w:t>Tuttavia, al fine di misurare le quote di spesa</w:t>
      </w:r>
      <w:r>
        <w:rPr>
          <w:rFonts w:ascii="Arial" w:hAnsi="Arial" w:cs="Arial"/>
        </w:rPr>
        <w:t xml:space="preserve"> con cui ciascun aggregato contribuisce alla stima dell’inflazione,</w:t>
      </w:r>
      <w:r w:rsidRPr="00501BF7">
        <w:rPr>
          <w:rFonts w:ascii="Arial" w:hAnsi="Arial" w:cs="Arial"/>
        </w:rPr>
        <w:t xml:space="preserve"> con riferimento al valore del periodo base di calcolo degli indici (dicembre 2021), i dati sui consumi finali delle famiglie </w:t>
      </w:r>
      <w:r>
        <w:rPr>
          <w:rFonts w:ascii="Arial" w:hAnsi="Arial" w:cs="Arial"/>
        </w:rPr>
        <w:t xml:space="preserve">sono stati aggiornati </w:t>
      </w:r>
      <w:r w:rsidRPr="00501BF7">
        <w:rPr>
          <w:rFonts w:ascii="Arial" w:hAnsi="Arial" w:cs="Arial"/>
        </w:rPr>
        <w:t>utilizzando le variazioni di prezzo misurate tra la media dell'anno 2021 e dicembre 2021</w:t>
      </w:r>
      <w:r>
        <w:rPr>
          <w:rFonts w:ascii="Arial" w:hAnsi="Arial" w:cs="Arial"/>
        </w:rPr>
        <w:t>.</w:t>
      </w:r>
    </w:p>
    <w:p w:rsidR="00C90E80" w:rsidRDefault="00C90E80" w:rsidP="00C90E80">
      <w:pPr>
        <w:tabs>
          <w:tab w:val="left" w:pos="10206"/>
        </w:tabs>
        <w:spacing w:before="0" w:after="120"/>
        <w:jc w:val="both"/>
        <w:rPr>
          <w:rFonts w:ascii="Arial" w:hAnsi="Arial" w:cs="Arial"/>
        </w:rPr>
      </w:pPr>
      <w:r w:rsidRPr="00703E31">
        <w:rPr>
          <w:rFonts w:ascii="Arial" w:hAnsi="Arial" w:cs="Arial"/>
        </w:rPr>
        <w:t xml:space="preserve">Nel Prospetto </w:t>
      </w:r>
      <w:r>
        <w:rPr>
          <w:rFonts w:ascii="Arial" w:hAnsi="Arial" w:cs="Arial"/>
        </w:rPr>
        <w:t>1</w:t>
      </w:r>
      <w:r w:rsidRPr="00703E31">
        <w:rPr>
          <w:rFonts w:ascii="Arial" w:hAnsi="Arial" w:cs="Arial"/>
        </w:rPr>
        <w:t xml:space="preserve"> è </w:t>
      </w:r>
      <w:r>
        <w:rPr>
          <w:rFonts w:ascii="Arial" w:hAnsi="Arial" w:cs="Arial"/>
        </w:rPr>
        <w:t xml:space="preserve">quindi </w:t>
      </w:r>
      <w:r w:rsidRPr="00703E31">
        <w:rPr>
          <w:rFonts w:ascii="Arial" w:hAnsi="Arial" w:cs="Arial"/>
        </w:rPr>
        <w:t xml:space="preserve">riportata la struttura dei pesi </w:t>
      </w:r>
      <w:r>
        <w:rPr>
          <w:rFonts w:ascii="Arial" w:hAnsi="Arial" w:cs="Arial"/>
        </w:rPr>
        <w:t xml:space="preserve">finali </w:t>
      </w:r>
      <w:r w:rsidRPr="00703E31">
        <w:rPr>
          <w:rFonts w:ascii="Arial" w:hAnsi="Arial" w:cs="Arial"/>
        </w:rPr>
        <w:t>per divis</w:t>
      </w:r>
      <w:r>
        <w:rPr>
          <w:rFonts w:ascii="Arial" w:hAnsi="Arial" w:cs="Arial"/>
        </w:rPr>
        <w:t xml:space="preserve">ione di spesa utilizzata per il </w:t>
      </w:r>
      <w:r w:rsidRPr="00703E31">
        <w:rPr>
          <w:rFonts w:ascii="Arial" w:hAnsi="Arial" w:cs="Arial"/>
        </w:rPr>
        <w:t>calcolo dei tre indici dei prezzi al consumo (NIC, IPCA e FOI)</w:t>
      </w:r>
      <w:r>
        <w:rPr>
          <w:rFonts w:ascii="Arial" w:hAnsi="Arial" w:cs="Arial"/>
        </w:rPr>
        <w:t xml:space="preserve"> per la stima preliminare dell’inflazione di gennaio 2022</w:t>
      </w:r>
      <w:r w:rsidRPr="00703E31">
        <w:rPr>
          <w:rFonts w:ascii="Arial" w:hAnsi="Arial" w:cs="Arial"/>
        </w:rPr>
        <w:t>.</w:t>
      </w:r>
    </w:p>
    <w:p w:rsidR="00367107" w:rsidRDefault="00367107" w:rsidP="00367107">
      <w:pPr>
        <w:tabs>
          <w:tab w:val="left" w:pos="10206"/>
        </w:tabs>
        <w:spacing w:before="0" w:after="120"/>
        <w:jc w:val="both"/>
        <w:rPr>
          <w:rFonts w:ascii="Arial" w:hAnsi="Arial" w:cs="Arial"/>
        </w:rPr>
      </w:pPr>
    </w:p>
    <w:p w:rsidR="00367107" w:rsidRPr="00881841" w:rsidRDefault="00367107" w:rsidP="00367107">
      <w:pPr>
        <w:pStyle w:val="001TitoGra"/>
        <w:spacing w:after="120" w:line="240" w:lineRule="auto"/>
        <w:jc w:val="both"/>
        <w:rPr>
          <w:b w:val="0"/>
          <w:sz w:val="20"/>
          <w:szCs w:val="20"/>
        </w:rPr>
      </w:pPr>
      <w:r w:rsidRPr="001611C8">
        <w:rPr>
          <w:rStyle w:val="001TitoGraRed"/>
        </w:rPr>
        <w:t xml:space="preserve">PROSPETTO </w:t>
      </w:r>
      <w:r>
        <w:rPr>
          <w:rStyle w:val="001TitoGraRed"/>
        </w:rPr>
        <w:t>1</w:t>
      </w:r>
      <w:r w:rsidRPr="001611C8">
        <w:rPr>
          <w:rStyle w:val="001TitoGraRed"/>
        </w:rPr>
        <w:t>.</w:t>
      </w:r>
      <w:r w:rsidRPr="00703E31">
        <w:t xml:space="preserve"> PESI UTILIZZATI PER IL CALCOLO DEGLI INDICI NAZIONALI DEI PREZZI AL CONSUMO, PER DIVISIONI DI SPESA</w:t>
      </w:r>
      <w:r>
        <w:t xml:space="preserve">. </w:t>
      </w:r>
      <w:r>
        <w:rPr>
          <w:b w:val="0"/>
          <w:sz w:val="20"/>
          <w:szCs w:val="20"/>
        </w:rPr>
        <w:t>Anno 2022</w:t>
      </w:r>
      <w:r w:rsidRPr="00881841">
        <w:rPr>
          <w:b w:val="0"/>
          <w:sz w:val="20"/>
          <w:szCs w:val="20"/>
        </w:rPr>
        <w:t xml:space="preserve">, valori percentuali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872"/>
        <w:gridCol w:w="1778"/>
        <w:gridCol w:w="1778"/>
        <w:gridCol w:w="1778"/>
      </w:tblGrid>
      <w:tr w:rsidR="00367107" w:rsidRPr="00881841" w:rsidTr="00367107">
        <w:trPr>
          <w:trHeight w:val="255"/>
        </w:trPr>
        <w:tc>
          <w:tcPr>
            <w:tcW w:w="4872" w:type="dxa"/>
            <w:vMerge w:val="restart"/>
            <w:shd w:val="clear" w:color="auto" w:fill="FFFFFF"/>
            <w:vAlign w:val="center"/>
            <w:hideMark/>
          </w:tcPr>
          <w:p w:rsidR="00367107" w:rsidRPr="0046573B" w:rsidRDefault="00367107" w:rsidP="00367107">
            <w:pPr>
              <w:widowControl/>
              <w:overflowPunct/>
              <w:autoSpaceDE/>
              <w:adjustRightInd/>
              <w:spacing w:before="0" w:after="0"/>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DIVISIONI DI SPESA</w:t>
            </w:r>
          </w:p>
        </w:tc>
        <w:tc>
          <w:tcPr>
            <w:tcW w:w="5334" w:type="dxa"/>
            <w:gridSpan w:val="3"/>
            <w:shd w:val="clear" w:color="auto" w:fill="D9D9D9"/>
            <w:vAlign w:val="center"/>
            <w:hideMark/>
          </w:tcPr>
          <w:p w:rsidR="00367107" w:rsidRPr="00881841" w:rsidRDefault="00367107" w:rsidP="00367107">
            <w:pPr>
              <w:spacing w:before="0" w:after="0"/>
              <w:jc w:val="center"/>
              <w:rPr>
                <w:rFonts w:ascii="Arial Narrow" w:hAnsi="Arial Narrow" w:cs="Arial"/>
                <w:b/>
                <w:sz w:val="18"/>
                <w:szCs w:val="18"/>
              </w:rPr>
            </w:pPr>
            <w:r w:rsidRPr="0046573B">
              <w:rPr>
                <w:rFonts w:ascii="Arial Narrow" w:hAnsi="Arial Narrow" w:cs="Calibri"/>
                <w:b/>
                <w:bCs/>
                <w:color w:val="000000"/>
                <w:kern w:val="0"/>
                <w:sz w:val="18"/>
                <w:szCs w:val="18"/>
              </w:rPr>
              <w:t>Pesi</w:t>
            </w:r>
          </w:p>
        </w:tc>
      </w:tr>
      <w:tr w:rsidR="00367107" w:rsidRPr="00881841" w:rsidTr="00367107">
        <w:trPr>
          <w:trHeight w:val="255"/>
        </w:trPr>
        <w:tc>
          <w:tcPr>
            <w:tcW w:w="4872" w:type="dxa"/>
            <w:vMerge/>
            <w:vAlign w:val="center"/>
            <w:hideMark/>
          </w:tcPr>
          <w:p w:rsidR="00367107" w:rsidRPr="0046573B" w:rsidRDefault="00367107" w:rsidP="00367107">
            <w:pPr>
              <w:widowControl/>
              <w:overflowPunct/>
              <w:autoSpaceDE/>
              <w:autoSpaceDN/>
              <w:adjustRightInd/>
              <w:spacing w:before="0" w:after="0"/>
              <w:rPr>
                <w:rFonts w:ascii="Arial Narrow" w:hAnsi="Arial Narrow" w:cs="Calibri"/>
                <w:b/>
                <w:bCs/>
                <w:color w:val="000000"/>
                <w:kern w:val="0"/>
                <w:sz w:val="18"/>
                <w:szCs w:val="18"/>
              </w:rPr>
            </w:pPr>
          </w:p>
        </w:tc>
        <w:tc>
          <w:tcPr>
            <w:tcW w:w="1778" w:type="dxa"/>
            <w:shd w:val="clear" w:color="auto" w:fill="auto"/>
            <w:vAlign w:val="center"/>
            <w:hideMark/>
          </w:tcPr>
          <w:p w:rsidR="00367107" w:rsidRPr="0046573B" w:rsidRDefault="00367107" w:rsidP="003671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NIC</w:t>
            </w:r>
          </w:p>
        </w:tc>
        <w:tc>
          <w:tcPr>
            <w:tcW w:w="1778" w:type="dxa"/>
            <w:shd w:val="clear" w:color="auto" w:fill="auto"/>
            <w:vAlign w:val="center"/>
            <w:hideMark/>
          </w:tcPr>
          <w:p w:rsidR="00367107" w:rsidRPr="0046573B" w:rsidRDefault="00367107" w:rsidP="003671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IPCA</w:t>
            </w:r>
          </w:p>
        </w:tc>
        <w:tc>
          <w:tcPr>
            <w:tcW w:w="1778" w:type="dxa"/>
            <w:shd w:val="clear" w:color="auto" w:fill="auto"/>
            <w:vAlign w:val="center"/>
            <w:hideMark/>
          </w:tcPr>
          <w:p w:rsidR="00367107" w:rsidRPr="0046573B" w:rsidRDefault="00367107" w:rsidP="003671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FOI</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Prodotti alimentari e bevande analcoliche</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18,3676</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19,4554</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17,2515</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Bevande alcoliche e tabacchi</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3,4038</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3,6056</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3,6654</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Abbigliamento e calzature</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6,3855</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7,3176</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7,1436</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Abitazione, acqua, elettricità e combustibili</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10,9684</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11,6179</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11,0001</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Mobili, articoli e servizi per la casa</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7,995</w:t>
            </w:r>
            <w:r>
              <w:rPr>
                <w:rFonts w:ascii="Arial Narrow" w:hAnsi="Arial Narrow" w:cs="Calibri"/>
                <w:color w:val="000000"/>
                <w:kern w:val="0"/>
                <w:sz w:val="18"/>
                <w:szCs w:val="18"/>
              </w:rPr>
              <w:t>0</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8,4989</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6,9834</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sanitari e spese per la salute</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8,8946</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4,6145</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7,1232</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Trasporti</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14,4843</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15,3242</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15,9564</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Comunicazioni</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2,5749</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2,7265</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2,9772</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Ricreazione, spettacoli e cultura</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7,054</w:t>
            </w:r>
            <w:r>
              <w:rPr>
                <w:rFonts w:ascii="Arial Narrow" w:hAnsi="Arial Narrow" w:cs="Calibri"/>
                <w:color w:val="000000"/>
                <w:kern w:val="0"/>
                <w:sz w:val="18"/>
                <w:szCs w:val="18"/>
              </w:rPr>
              <w:t>0</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5,7663</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7,4398</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Istruzione</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1,0835</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1,1474</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1,2182</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ricettivi e di ristorazione</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9,3754</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9,9319</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9,9741</w:t>
            </w:r>
          </w:p>
        </w:tc>
      </w:tr>
      <w:tr w:rsidR="00152CFF" w:rsidRPr="00881841" w:rsidTr="00A54D38">
        <w:trPr>
          <w:trHeight w:val="255"/>
        </w:trPr>
        <w:tc>
          <w:tcPr>
            <w:tcW w:w="4872" w:type="dxa"/>
            <w:vAlign w:val="center"/>
            <w:hideMark/>
          </w:tcPr>
          <w:p w:rsidR="00152CFF" w:rsidRPr="0046573B" w:rsidRDefault="00152CFF" w:rsidP="00152CFF">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 xml:space="preserve">Altri beni e servizi </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9,413</w:t>
            </w:r>
            <w:r>
              <w:rPr>
                <w:rFonts w:ascii="Arial Narrow" w:hAnsi="Arial Narrow" w:cs="Calibri"/>
                <w:color w:val="000000"/>
                <w:kern w:val="0"/>
                <w:sz w:val="18"/>
                <w:szCs w:val="18"/>
              </w:rPr>
              <w:t>0</w:t>
            </w:r>
          </w:p>
        </w:tc>
        <w:tc>
          <w:tcPr>
            <w:tcW w:w="1778" w:type="dxa"/>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9,9938</w:t>
            </w:r>
          </w:p>
        </w:tc>
        <w:tc>
          <w:tcPr>
            <w:tcW w:w="1778" w:type="dxa"/>
            <w:shd w:val="clear" w:color="auto" w:fill="E6E6E6"/>
            <w:vAlign w:val="center"/>
            <w:hideMark/>
          </w:tcPr>
          <w:p w:rsidR="00152CFF" w:rsidRPr="005519C4" w:rsidRDefault="00152CFF" w:rsidP="00152CFF">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9,2671</w:t>
            </w:r>
          </w:p>
        </w:tc>
      </w:tr>
      <w:tr w:rsidR="00367107" w:rsidRPr="00881841" w:rsidTr="00367107">
        <w:trPr>
          <w:trHeight w:val="255"/>
        </w:trPr>
        <w:tc>
          <w:tcPr>
            <w:tcW w:w="4872" w:type="dxa"/>
            <w:shd w:val="clear" w:color="auto" w:fill="E31C18"/>
            <w:vAlign w:val="center"/>
            <w:hideMark/>
          </w:tcPr>
          <w:p w:rsidR="00367107" w:rsidRPr="0046573B" w:rsidRDefault="00367107" w:rsidP="00367107">
            <w:pPr>
              <w:widowControl/>
              <w:overflowPunct/>
              <w:autoSpaceDE/>
              <w:adjustRightInd/>
              <w:spacing w:before="0" w:after="0"/>
              <w:rPr>
                <w:rFonts w:ascii="Arial Narrow" w:hAnsi="Arial Narrow" w:cs="Calibri"/>
                <w:b/>
                <w:bCs/>
                <w:color w:val="FFFFFF"/>
                <w:kern w:val="0"/>
                <w:sz w:val="18"/>
                <w:szCs w:val="18"/>
              </w:rPr>
            </w:pPr>
            <w:r w:rsidRPr="0046573B">
              <w:rPr>
                <w:rFonts w:ascii="Arial Narrow" w:hAnsi="Arial Narrow" w:cs="Calibri"/>
                <w:b/>
                <w:bCs/>
                <w:color w:val="FFFFFF"/>
                <w:kern w:val="0"/>
                <w:sz w:val="18"/>
                <w:szCs w:val="18"/>
              </w:rPr>
              <w:t>Indice generale</w:t>
            </w:r>
          </w:p>
        </w:tc>
        <w:tc>
          <w:tcPr>
            <w:tcW w:w="1778" w:type="dxa"/>
            <w:shd w:val="clear" w:color="auto" w:fill="E31C18"/>
            <w:vAlign w:val="center"/>
            <w:hideMark/>
          </w:tcPr>
          <w:p w:rsidR="00367107" w:rsidRPr="00074AC4" w:rsidRDefault="00367107" w:rsidP="0036710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367107" w:rsidRPr="00074AC4" w:rsidRDefault="00367107" w:rsidP="0036710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367107" w:rsidRPr="00074AC4" w:rsidRDefault="00367107" w:rsidP="0036710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r>
    </w:tbl>
    <w:p w:rsidR="00367107" w:rsidRDefault="00367107" w:rsidP="00367107">
      <w:pPr>
        <w:tabs>
          <w:tab w:val="left" w:pos="10206"/>
        </w:tabs>
        <w:spacing w:before="0" w:after="120"/>
        <w:jc w:val="both"/>
        <w:rPr>
          <w:rFonts w:ascii="Arial" w:hAnsi="Arial" w:cs="Arial"/>
          <w:szCs w:val="21"/>
        </w:rPr>
      </w:pPr>
    </w:p>
    <w:p w:rsidR="00367107" w:rsidRPr="00C8504B" w:rsidRDefault="00367107" w:rsidP="00367107">
      <w:pPr>
        <w:tabs>
          <w:tab w:val="left" w:pos="-788"/>
          <w:tab w:val="left" w:pos="-567"/>
          <w:tab w:val="left" w:pos="565"/>
          <w:tab w:val="left" w:pos="849"/>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0" w:after="120"/>
        <w:jc w:val="both"/>
        <w:rPr>
          <w:rFonts w:ascii="Arial" w:hAnsi="Arial" w:cs="Arial"/>
          <w:sz w:val="2"/>
        </w:rPr>
      </w:pPr>
    </w:p>
    <w:p w:rsidR="00367107" w:rsidRPr="00C8504B" w:rsidRDefault="00367107" w:rsidP="00367107">
      <w:pPr>
        <w:pStyle w:val="Titolo4"/>
        <w:spacing w:before="0" w:after="120"/>
        <w:rPr>
          <w:rFonts w:ascii="Arial" w:hAnsi="Arial" w:cs="Arial"/>
          <w:bCs w:val="0"/>
          <w:i w:val="0"/>
          <w:color w:val="auto"/>
          <w:szCs w:val="22"/>
        </w:rPr>
      </w:pPr>
      <w:r w:rsidRPr="00C8504B">
        <w:rPr>
          <w:rFonts w:ascii="Arial" w:hAnsi="Arial" w:cs="Arial"/>
          <w:bCs w:val="0"/>
          <w:i w:val="0"/>
          <w:color w:val="auto"/>
          <w:szCs w:val="22"/>
        </w:rPr>
        <w:t xml:space="preserve">Indici nazionali e territoriali </w:t>
      </w:r>
    </w:p>
    <w:p w:rsidR="00367107" w:rsidRPr="00F07A0F" w:rsidRDefault="00367107" w:rsidP="00367107">
      <w:pPr>
        <w:spacing w:before="0" w:after="120"/>
        <w:jc w:val="both"/>
        <w:rPr>
          <w:rFonts w:ascii="Arial" w:hAnsi="Arial" w:cs="Arial"/>
          <w:szCs w:val="21"/>
        </w:rPr>
      </w:pPr>
      <w:r w:rsidRPr="00F07A0F">
        <w:rPr>
          <w:rFonts w:ascii="Arial" w:hAnsi="Arial" w:cs="Arial"/>
          <w:szCs w:val="21"/>
        </w:rPr>
        <w:t xml:space="preserve">La metodologia di calcolo degli indici dei prezzi al consumo prevede quattro diversi processi di sintesi degli indici di ciascun aggregato di prodotto calcolati per ogni capoluogo di provincia. </w:t>
      </w:r>
    </w:p>
    <w:p w:rsidR="00367107" w:rsidRPr="00C8504B" w:rsidRDefault="00367107" w:rsidP="00367107">
      <w:pPr>
        <w:spacing w:before="0" w:after="120"/>
        <w:ind w:firstLine="567"/>
        <w:jc w:val="both"/>
        <w:rPr>
          <w:rFonts w:ascii="Arial" w:hAnsi="Arial" w:cs="Arial"/>
          <w:szCs w:val="21"/>
        </w:rPr>
      </w:pPr>
      <w:r w:rsidRPr="00F07A0F">
        <w:rPr>
          <w:rFonts w:ascii="Arial" w:hAnsi="Arial" w:cs="Arial"/>
          <w:bCs/>
          <w:szCs w:val="21"/>
        </w:rPr>
        <w:t>L’</w:t>
      </w:r>
      <w:r w:rsidRPr="00F07A0F">
        <w:rPr>
          <w:rFonts w:ascii="Arial" w:hAnsi="Arial" w:cs="Arial"/>
          <w:bCs/>
          <w:i/>
          <w:szCs w:val="21"/>
        </w:rPr>
        <w:t>indice nazionale</w:t>
      </w:r>
      <w:r w:rsidRPr="00F07A0F">
        <w:rPr>
          <w:rFonts w:ascii="Arial" w:hAnsi="Arial" w:cs="Arial"/>
          <w:bCs/>
          <w:szCs w:val="21"/>
        </w:rPr>
        <w:t xml:space="preserve"> si ottiene nel modo seguente</w:t>
      </w:r>
      <w:r w:rsidRPr="00F07A0F">
        <w:rPr>
          <w:rFonts w:ascii="Arial" w:hAnsi="Arial" w:cs="Arial"/>
          <w:szCs w:val="21"/>
        </w:rPr>
        <w:t>:</w:t>
      </w:r>
    </w:p>
    <w:p w:rsidR="00367107" w:rsidRPr="00B629AE" w:rsidRDefault="00367107" w:rsidP="00367107">
      <w:pPr>
        <w:widowControl/>
        <w:numPr>
          <w:ilvl w:val="0"/>
          <w:numId w:val="7"/>
        </w:numPr>
        <w:tabs>
          <w:tab w:val="clear" w:pos="720"/>
          <w:tab w:val="left" w:pos="284"/>
        </w:tabs>
        <w:spacing w:before="0" w:after="120"/>
        <w:ind w:left="0" w:firstLine="0"/>
        <w:jc w:val="both"/>
        <w:rPr>
          <w:rFonts w:ascii="Arial" w:hAnsi="Arial" w:cs="Arial"/>
          <w:szCs w:val="21"/>
        </w:rPr>
      </w:pPr>
      <w:r w:rsidRPr="00B629AE">
        <w:rPr>
          <w:rFonts w:ascii="Arial" w:hAnsi="Arial" w:cs="Arial"/>
          <w:szCs w:val="21"/>
        </w:rPr>
        <w:t xml:space="preserve">si aggregano tra loro gli indici provinciali di aggregato di prodotto per costruire l’indice regionale di aggregato di prodotto. Per quanto riguarda i beni alimentari (esclusi i prodotti freschi) e per la cura della casa e della persona, gli indici regionali di aggregato di prodotto sono calcolati tenendo distinte le diverse tipologie distributive (ipermercati, supermercati, discount, libero servizio, </w:t>
      </w:r>
      <w:proofErr w:type="spellStart"/>
      <w:r w:rsidRPr="00B629AE">
        <w:rPr>
          <w:rFonts w:ascii="Arial" w:hAnsi="Arial" w:cs="Arial"/>
          <w:szCs w:val="21"/>
        </w:rPr>
        <w:t>specialist</w:t>
      </w:r>
      <w:proofErr w:type="spellEnd"/>
      <w:r w:rsidRPr="00B629AE">
        <w:rPr>
          <w:rFonts w:ascii="Arial" w:hAnsi="Arial" w:cs="Arial"/>
          <w:szCs w:val="21"/>
        </w:rPr>
        <w:t xml:space="preserve"> </w:t>
      </w:r>
      <w:proofErr w:type="spellStart"/>
      <w:r w:rsidRPr="00B629AE">
        <w:rPr>
          <w:rFonts w:ascii="Arial" w:hAnsi="Arial" w:cs="Arial"/>
          <w:szCs w:val="21"/>
        </w:rPr>
        <w:t>drug</w:t>
      </w:r>
      <w:proofErr w:type="spellEnd"/>
      <w:r w:rsidRPr="00B629AE">
        <w:rPr>
          <w:rFonts w:ascii="Arial" w:hAnsi="Arial" w:cs="Arial"/>
          <w:szCs w:val="21"/>
        </w:rPr>
        <w:t>) per i quali si utilizzano le informazioni provenienti dai registratori elettronici di cassa (scanner data). Per un numero limitato di aggregati, l’indice viene calcolato integran</w:t>
      </w:r>
      <w:r>
        <w:rPr>
          <w:rFonts w:ascii="Arial" w:hAnsi="Arial" w:cs="Arial"/>
          <w:szCs w:val="21"/>
        </w:rPr>
        <w:t xml:space="preserve">do le informazioni provenienti </w:t>
      </w:r>
      <w:proofErr w:type="gramStart"/>
      <w:r w:rsidRPr="00B629AE">
        <w:rPr>
          <w:rFonts w:ascii="Arial" w:hAnsi="Arial" w:cs="Arial"/>
          <w:szCs w:val="21"/>
        </w:rPr>
        <w:t>dagli scanner</w:t>
      </w:r>
      <w:proofErr w:type="gramEnd"/>
      <w:r w:rsidRPr="00B629AE">
        <w:rPr>
          <w:rFonts w:ascii="Arial" w:hAnsi="Arial" w:cs="Arial"/>
          <w:szCs w:val="21"/>
        </w:rPr>
        <w:t xml:space="preserve"> data con quelle rilevate direttamente dagli Uffici Comunali di Statistica. I coefficienti di ponderazione adoperati per le sintesi degli indici provinciali si basano, in generale, sul peso di ciascun capoluogo di provincia in termini di popolazione residente;</w:t>
      </w:r>
    </w:p>
    <w:p w:rsidR="00367107" w:rsidRDefault="00367107" w:rsidP="00367107">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si aggregano tra loro gli indici regionali di aggregato di prodotto per costruire l’indice nazionale di aggregato di prodotto. I coefficienti di ponderazione utilizzati si basano sul peso di ciascuna regione in termini di consumi delle famiglie;</w:t>
      </w:r>
    </w:p>
    <w:p w:rsidR="00367107" w:rsidRPr="00963ACB" w:rsidRDefault="00367107" w:rsidP="00367107">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l’indice generale nazionale dei prezzi al consumo si ottiene come media ponderata degli indici nazionali di aggregato di prodotto. I coefficienti di ponderazione utilizzati si basano sul peso di ciascun aggregato di prodotto in termini di consumi delle famiglie.</w:t>
      </w:r>
    </w:p>
    <w:p w:rsidR="00367107" w:rsidRPr="00C8504B" w:rsidRDefault="00367107" w:rsidP="00367107">
      <w:pPr>
        <w:tabs>
          <w:tab w:val="left" w:pos="2098"/>
        </w:tabs>
        <w:spacing w:before="0" w:after="120"/>
        <w:ind w:firstLine="567"/>
        <w:jc w:val="both"/>
        <w:rPr>
          <w:rFonts w:ascii="Arial" w:hAnsi="Arial" w:cs="Arial"/>
          <w:szCs w:val="21"/>
        </w:rPr>
      </w:pPr>
      <w:r>
        <w:rPr>
          <w:rFonts w:ascii="Arial" w:hAnsi="Arial" w:cs="Arial"/>
          <w:bCs/>
          <w:szCs w:val="21"/>
        </w:rPr>
        <w:t xml:space="preserve">Gli </w:t>
      </w:r>
      <w:r>
        <w:rPr>
          <w:rFonts w:ascii="Arial" w:hAnsi="Arial" w:cs="Arial"/>
          <w:i/>
          <w:szCs w:val="21"/>
        </w:rPr>
        <w:t xml:space="preserve">indici per </w:t>
      </w:r>
      <w:r w:rsidRPr="00910289">
        <w:rPr>
          <w:rFonts w:ascii="Arial" w:hAnsi="Arial" w:cs="Arial"/>
          <w:bCs/>
          <w:i/>
          <w:szCs w:val="21"/>
        </w:rPr>
        <w:t>capoluogo di provincia</w:t>
      </w:r>
      <w:r>
        <w:rPr>
          <w:rFonts w:ascii="Arial" w:hAnsi="Arial" w:cs="Arial"/>
          <w:bCs/>
          <w:i/>
          <w:szCs w:val="21"/>
        </w:rPr>
        <w:t>, regione e</w:t>
      </w:r>
      <w:r w:rsidRPr="00910289">
        <w:rPr>
          <w:rFonts w:ascii="Arial" w:hAnsi="Arial" w:cs="Arial"/>
          <w:bCs/>
          <w:szCs w:val="21"/>
        </w:rPr>
        <w:t xml:space="preserve"> </w:t>
      </w:r>
      <w:r>
        <w:rPr>
          <w:rFonts w:ascii="Arial" w:hAnsi="Arial" w:cs="Arial"/>
          <w:i/>
          <w:szCs w:val="21"/>
        </w:rPr>
        <w:t>ripartizione geografica</w:t>
      </w:r>
      <w:r>
        <w:rPr>
          <w:rFonts w:ascii="Arial" w:hAnsi="Arial" w:cs="Arial"/>
          <w:szCs w:val="21"/>
        </w:rPr>
        <w:t xml:space="preserve"> si ottengono come segue:</w:t>
      </w:r>
    </w:p>
    <w:p w:rsidR="00367107" w:rsidRPr="00BE0AE9" w:rsidRDefault="00367107" w:rsidP="00367107">
      <w:pPr>
        <w:widowControl/>
        <w:numPr>
          <w:ilvl w:val="0"/>
          <w:numId w:val="3"/>
        </w:numPr>
        <w:tabs>
          <w:tab w:val="clear" w:pos="720"/>
          <w:tab w:val="left" w:pos="284"/>
        </w:tabs>
        <w:spacing w:before="0" w:after="120"/>
        <w:ind w:left="0" w:firstLine="0"/>
        <w:jc w:val="both"/>
        <w:rPr>
          <w:rFonts w:ascii="Arial" w:hAnsi="Arial" w:cs="Arial"/>
          <w:szCs w:val="21"/>
        </w:rPr>
      </w:pPr>
      <w:r w:rsidRPr="00BE0AE9">
        <w:rPr>
          <w:rFonts w:ascii="Arial" w:hAnsi="Arial" w:cs="Arial"/>
          <w:szCs w:val="21"/>
        </w:rPr>
        <w:t xml:space="preserve">l’indice generale per </w:t>
      </w:r>
      <w:r>
        <w:rPr>
          <w:rFonts w:ascii="Arial" w:hAnsi="Arial" w:cs="Arial"/>
          <w:szCs w:val="21"/>
        </w:rPr>
        <w:t xml:space="preserve">regione e per </w:t>
      </w:r>
      <w:r w:rsidRPr="00BE0AE9">
        <w:rPr>
          <w:rFonts w:ascii="Arial" w:hAnsi="Arial" w:cs="Arial"/>
          <w:szCs w:val="21"/>
        </w:rPr>
        <w:t xml:space="preserve">ripartizione geografica dei prezzi </w:t>
      </w:r>
      <w:r>
        <w:rPr>
          <w:rFonts w:ascii="Arial" w:hAnsi="Arial" w:cs="Arial"/>
          <w:szCs w:val="21"/>
        </w:rPr>
        <w:t xml:space="preserve">sono calcolati rispettivamente </w:t>
      </w:r>
      <w:r w:rsidRPr="00BE0AE9">
        <w:rPr>
          <w:rFonts w:ascii="Arial" w:hAnsi="Arial" w:cs="Arial"/>
          <w:szCs w:val="21"/>
        </w:rPr>
        <w:t xml:space="preserve">come media ponderata degli indici </w:t>
      </w:r>
      <w:r>
        <w:rPr>
          <w:rFonts w:ascii="Arial" w:hAnsi="Arial" w:cs="Arial"/>
          <w:szCs w:val="21"/>
        </w:rPr>
        <w:t xml:space="preserve">regionali e </w:t>
      </w:r>
      <w:r w:rsidRPr="00BE0AE9">
        <w:rPr>
          <w:rFonts w:ascii="Arial" w:hAnsi="Arial" w:cs="Arial"/>
          <w:szCs w:val="21"/>
        </w:rPr>
        <w:t>ripartizionali di aggregato di prodotto. I coefficienti di ponderazione utilizzat</w:t>
      </w:r>
      <w:r>
        <w:rPr>
          <w:rFonts w:ascii="Arial" w:hAnsi="Arial" w:cs="Arial"/>
          <w:szCs w:val="21"/>
        </w:rPr>
        <w:t>i si basano sul peso di ciascun</w:t>
      </w:r>
      <w:r w:rsidRPr="00BE0AE9">
        <w:rPr>
          <w:rFonts w:ascii="Arial" w:hAnsi="Arial" w:cs="Arial"/>
          <w:szCs w:val="21"/>
        </w:rPr>
        <w:t xml:space="preserve"> aggregato di prodotto in termini di consumi delle famiglie.</w:t>
      </w:r>
    </w:p>
    <w:p w:rsidR="00367107" w:rsidRDefault="00367107" w:rsidP="00367107">
      <w:pPr>
        <w:widowControl/>
        <w:numPr>
          <w:ilvl w:val="0"/>
          <w:numId w:val="3"/>
        </w:numPr>
        <w:tabs>
          <w:tab w:val="clear" w:pos="720"/>
          <w:tab w:val="left" w:pos="284"/>
        </w:tabs>
        <w:spacing w:before="0" w:after="120"/>
        <w:ind w:left="0" w:firstLine="0"/>
        <w:jc w:val="both"/>
        <w:rPr>
          <w:rFonts w:ascii="Arial" w:hAnsi="Arial" w:cs="Arial"/>
          <w:szCs w:val="21"/>
        </w:rPr>
      </w:pPr>
      <w:r>
        <w:rPr>
          <w:rFonts w:ascii="Arial" w:hAnsi="Arial" w:cs="Arial"/>
          <w:szCs w:val="21"/>
        </w:rPr>
        <w:t xml:space="preserve">l’indice generale provinciale si ottiene come media aritmetica ponderata </w:t>
      </w:r>
      <w:r w:rsidRPr="002C6C87">
        <w:rPr>
          <w:rFonts w:ascii="Arial" w:hAnsi="Arial" w:cs="Arial"/>
          <w:szCs w:val="21"/>
        </w:rPr>
        <w:t xml:space="preserve">degli aggregati di prodotto calcolati a livello di capoluogo di provincia. I coefficienti di ponderazione utilizzati si basano sul peso di ciascun aggregato di prodotto in termini di consumi delle famiglie. La struttura di ponderazione utilizzata è </w:t>
      </w:r>
      <w:r>
        <w:rPr>
          <w:rFonts w:ascii="Arial" w:hAnsi="Arial" w:cs="Arial"/>
          <w:szCs w:val="21"/>
        </w:rPr>
        <w:t xml:space="preserve">quella </w:t>
      </w:r>
      <w:r w:rsidRPr="002C6C87">
        <w:rPr>
          <w:rFonts w:ascii="Arial" w:hAnsi="Arial" w:cs="Arial"/>
          <w:szCs w:val="21"/>
        </w:rPr>
        <w:t>definita a livello regionale.</w:t>
      </w:r>
    </w:p>
    <w:p w:rsidR="00367107" w:rsidRPr="00963ACB" w:rsidRDefault="00367107" w:rsidP="00367107">
      <w:pPr>
        <w:widowControl/>
        <w:tabs>
          <w:tab w:val="left" w:pos="284"/>
        </w:tabs>
        <w:spacing w:before="0" w:after="120"/>
        <w:jc w:val="both"/>
        <w:rPr>
          <w:rFonts w:ascii="Arial" w:hAnsi="Arial" w:cs="Arial"/>
          <w:szCs w:val="21"/>
        </w:rPr>
      </w:pPr>
    </w:p>
    <w:p w:rsidR="00367107" w:rsidRPr="00833545" w:rsidRDefault="00367107" w:rsidP="00367107">
      <w:pPr>
        <w:tabs>
          <w:tab w:val="left" w:pos="10206"/>
        </w:tabs>
        <w:spacing w:before="0" w:after="120"/>
        <w:jc w:val="both"/>
        <w:rPr>
          <w:rFonts w:ascii="Arial" w:hAnsi="Arial" w:cs="Arial"/>
          <w:b/>
          <w:sz w:val="22"/>
          <w:szCs w:val="22"/>
        </w:rPr>
      </w:pPr>
      <w:r w:rsidRPr="00833545">
        <w:rPr>
          <w:rFonts w:ascii="Arial" w:hAnsi="Arial" w:cs="Arial"/>
          <w:b/>
          <w:sz w:val="22"/>
          <w:szCs w:val="22"/>
        </w:rPr>
        <w:t>Classificazione degli indici dei prezzi al consumo</w:t>
      </w:r>
    </w:p>
    <w:p w:rsidR="00367107" w:rsidRDefault="00367107" w:rsidP="00367107">
      <w:pPr>
        <w:widowControl/>
        <w:tabs>
          <w:tab w:val="left" w:pos="10206"/>
        </w:tabs>
        <w:overflowPunct/>
        <w:spacing w:before="0" w:after="120"/>
        <w:jc w:val="both"/>
        <w:rPr>
          <w:rFonts w:ascii="Arial" w:hAnsi="Arial" w:cs="Arial"/>
          <w:szCs w:val="21"/>
        </w:rPr>
      </w:pPr>
      <w:r w:rsidRPr="00320159">
        <w:rPr>
          <w:rFonts w:ascii="Arial" w:hAnsi="Arial" w:cs="Arial"/>
          <w:szCs w:val="21"/>
        </w:rPr>
        <w:t xml:space="preserve">La classificazione adottata per gli indici dei prezzi al consumo è la </w:t>
      </w:r>
      <w:proofErr w:type="spellStart"/>
      <w:r w:rsidRPr="00320159">
        <w:rPr>
          <w:rFonts w:ascii="Arial" w:hAnsi="Arial" w:cs="Arial"/>
          <w:i/>
          <w:szCs w:val="21"/>
        </w:rPr>
        <w:t>European</w:t>
      </w:r>
      <w:proofErr w:type="spellEnd"/>
      <w:r w:rsidRPr="00320159">
        <w:rPr>
          <w:rFonts w:ascii="Arial" w:hAnsi="Arial" w:cs="Arial"/>
          <w:i/>
          <w:szCs w:val="21"/>
        </w:rPr>
        <w:t xml:space="preserve"> </w:t>
      </w:r>
      <w:proofErr w:type="spellStart"/>
      <w:r w:rsidRPr="00320159">
        <w:rPr>
          <w:rFonts w:ascii="Arial" w:hAnsi="Arial" w:cs="Arial"/>
          <w:i/>
          <w:iCs/>
          <w:szCs w:val="21"/>
        </w:rPr>
        <w:t>Classification</w:t>
      </w:r>
      <w:proofErr w:type="spellEnd"/>
      <w:r w:rsidRPr="00320159">
        <w:rPr>
          <w:rFonts w:ascii="Arial" w:hAnsi="Arial" w:cs="Arial"/>
          <w:i/>
          <w:iCs/>
          <w:szCs w:val="21"/>
        </w:rPr>
        <w:t xml:space="preserve"> of </w:t>
      </w:r>
      <w:proofErr w:type="spellStart"/>
      <w:r w:rsidRPr="00320159">
        <w:rPr>
          <w:rFonts w:ascii="Arial" w:hAnsi="Arial" w:cs="Arial"/>
          <w:i/>
          <w:iCs/>
          <w:szCs w:val="21"/>
        </w:rPr>
        <w:t>Individual</w:t>
      </w:r>
      <w:proofErr w:type="spellEnd"/>
      <w:r w:rsidRPr="00320159">
        <w:rPr>
          <w:rFonts w:ascii="Arial" w:hAnsi="Arial" w:cs="Arial"/>
          <w:i/>
          <w:iCs/>
          <w:szCs w:val="21"/>
        </w:rPr>
        <w:t xml:space="preserve"> </w:t>
      </w:r>
      <w:proofErr w:type="spellStart"/>
      <w:r w:rsidRPr="00320159">
        <w:rPr>
          <w:rFonts w:ascii="Arial" w:hAnsi="Arial" w:cs="Arial"/>
          <w:i/>
          <w:iCs/>
          <w:szCs w:val="21"/>
        </w:rPr>
        <w:t>Consumption</w:t>
      </w:r>
      <w:proofErr w:type="spellEnd"/>
      <w:r w:rsidRPr="00320159">
        <w:rPr>
          <w:rFonts w:ascii="Arial" w:hAnsi="Arial" w:cs="Arial"/>
          <w:i/>
          <w:iCs/>
          <w:szCs w:val="21"/>
        </w:rPr>
        <w:t xml:space="preserve"> by </w:t>
      </w:r>
      <w:proofErr w:type="spellStart"/>
      <w:r w:rsidRPr="00320159">
        <w:rPr>
          <w:rFonts w:ascii="Arial" w:hAnsi="Arial" w:cs="Arial"/>
          <w:i/>
          <w:iCs/>
          <w:szCs w:val="21"/>
        </w:rPr>
        <w:t>Purpose</w:t>
      </w:r>
      <w:proofErr w:type="spellEnd"/>
      <w:r w:rsidRPr="00320159">
        <w:rPr>
          <w:rFonts w:ascii="Arial" w:hAnsi="Arial" w:cs="Arial"/>
          <w:szCs w:val="21"/>
        </w:rPr>
        <w:t xml:space="preserve"> (ECO</w:t>
      </w:r>
      <w:r>
        <w:rPr>
          <w:rFonts w:ascii="Arial" w:hAnsi="Arial" w:cs="Arial"/>
          <w:szCs w:val="21"/>
        </w:rPr>
        <w:t>I</w:t>
      </w:r>
      <w:r w:rsidRPr="00320159">
        <w:rPr>
          <w:rFonts w:ascii="Arial" w:hAnsi="Arial" w:cs="Arial"/>
          <w:szCs w:val="21"/>
        </w:rPr>
        <w:t>COP), allegata al nuovo Regolamento quadro europeo degli indici dei prezzi al consumo armonizzati e dell’indice dei prezzi delle abitazioni (</w:t>
      </w:r>
      <w:r w:rsidRPr="00320159">
        <w:rPr>
          <w:rFonts w:ascii="Arial" w:hAnsi="Arial" w:cs="Arial"/>
          <w:b/>
          <w:szCs w:val="21"/>
        </w:rPr>
        <w:t>Reg. n. 2016/792</w:t>
      </w:r>
      <w:r w:rsidRPr="00320159">
        <w:rPr>
          <w:rFonts w:ascii="Arial" w:hAnsi="Arial" w:cs="Arial"/>
          <w:szCs w:val="21"/>
        </w:rPr>
        <w:t>). La struttura gerarchica prevista secondo la classificazione ECO</w:t>
      </w:r>
      <w:r>
        <w:rPr>
          <w:rFonts w:ascii="Arial" w:hAnsi="Arial" w:cs="Arial"/>
          <w:szCs w:val="21"/>
        </w:rPr>
        <w:t>I</w:t>
      </w:r>
      <w:r w:rsidRPr="00320159">
        <w:rPr>
          <w:rFonts w:ascii="Arial" w:hAnsi="Arial" w:cs="Arial"/>
          <w:szCs w:val="21"/>
        </w:rPr>
        <w:t>COP presenta quattro livelli di disaggregazione: Divisioni di spesa, Gruppi di prodotto, Classi di prodotto e Sottoclassi di prodotto (in luogo dei primi tre livelli della classificazione COICOP vigente fino a dicembre 2015).</w:t>
      </w:r>
    </w:p>
    <w:p w:rsidR="00367107" w:rsidRPr="00DC0F68" w:rsidRDefault="00367107" w:rsidP="00367107">
      <w:pPr>
        <w:widowControl/>
        <w:tabs>
          <w:tab w:val="left" w:pos="10206"/>
        </w:tabs>
        <w:overflowPunct/>
        <w:spacing w:before="0" w:after="120"/>
        <w:jc w:val="both"/>
        <w:rPr>
          <w:rFonts w:ascii="Arial" w:hAnsi="Arial" w:cs="Arial"/>
          <w:szCs w:val="21"/>
        </w:rPr>
      </w:pPr>
      <w:r>
        <w:rPr>
          <w:rFonts w:ascii="Arial" w:hAnsi="Arial" w:cs="Arial"/>
          <w:szCs w:val="21"/>
        </w:rPr>
        <w:t>Ai fini del calcolo degli indici dei prezzi al consumo, le Sottoclassi di prodotto sono ulteriormente disaggregate in Segmenti di consumo.</w:t>
      </w:r>
    </w:p>
    <w:p w:rsidR="00367107" w:rsidRPr="00E7690A" w:rsidRDefault="00367107" w:rsidP="00367107">
      <w:pPr>
        <w:widowControl/>
        <w:tabs>
          <w:tab w:val="left" w:pos="10206"/>
        </w:tabs>
        <w:overflowPunct/>
        <w:spacing w:before="0" w:after="120"/>
        <w:jc w:val="both"/>
        <w:rPr>
          <w:rFonts w:ascii="Arial" w:hAnsi="Arial" w:cs="Arial"/>
          <w:szCs w:val="21"/>
        </w:rPr>
      </w:pPr>
      <w:r w:rsidRPr="00E7690A">
        <w:rPr>
          <w:rFonts w:ascii="Arial" w:hAnsi="Arial" w:cs="Arial"/>
          <w:szCs w:val="21"/>
        </w:rPr>
        <w:t>In base alla struttura di classificazione degli indici e al dettaglio territoriale, gli indici NIC sono pubblicati fino al livello dei segmenti di consumo se riferiti all’intero territorio nazionale</w:t>
      </w:r>
      <w:r w:rsidRPr="00E7690A">
        <w:rPr>
          <w:rFonts w:ascii="Arial" w:hAnsi="Arial"/>
          <w:szCs w:val="21"/>
          <w:vertAlign w:val="superscript"/>
        </w:rPr>
        <w:footnoteReference w:id="5"/>
      </w:r>
      <w:r w:rsidRPr="00E7690A">
        <w:rPr>
          <w:rFonts w:ascii="Arial" w:hAnsi="Arial" w:cs="Arial"/>
          <w:szCs w:val="21"/>
        </w:rPr>
        <w:t xml:space="preserve">, fino a quello dei gruppi di prodotto se riferiti a ripartizione, regione e provincia. Gli indici FOI sono diffusi a livello nazionale e provinciale fino alle divisioni di spesa. </w:t>
      </w:r>
    </w:p>
    <w:p w:rsidR="00367107" w:rsidRDefault="00367107" w:rsidP="00367107">
      <w:pPr>
        <w:widowControl/>
        <w:overflowPunct/>
        <w:spacing w:before="0" w:after="120"/>
        <w:jc w:val="both"/>
        <w:rPr>
          <w:rFonts w:ascii="Arial" w:hAnsi="Arial" w:cs="Arial"/>
        </w:rPr>
      </w:pPr>
      <w:r>
        <w:rPr>
          <w:rFonts w:ascii="Arial" w:hAnsi="Arial" w:cs="Arial"/>
        </w:rPr>
        <w:t>In aggiunta, sia con riferimento all’indice NIC sia all’IPCA, vengono calcolati indici dei prezzi basati su schemi classificatori alternativi alla classificazione ECOICOP, rispettivamente gli indici per tipologia di prodotto e quelli degli aggregati speciali (IPCA-AS). In particolare,</w:t>
      </w:r>
      <w:r>
        <w:rPr>
          <w:rFonts w:ascii="Arial" w:hAnsi="Arial" w:cs="Arial"/>
          <w:szCs w:val="21"/>
        </w:rPr>
        <w:t xml:space="preserve"> </w:t>
      </w:r>
      <w:r>
        <w:rPr>
          <w:rFonts w:ascii="Arial" w:hAnsi="Arial" w:cs="Arial"/>
        </w:rPr>
        <w:t>g</w:t>
      </w:r>
      <w:r w:rsidRPr="000E4583">
        <w:rPr>
          <w:rFonts w:ascii="Arial" w:hAnsi="Arial" w:cs="Arial"/>
        </w:rPr>
        <w:t>li IPCA-AS sono elaborati adottando lo stesso metodo di calcolo utilizzato</w:t>
      </w:r>
      <w:r>
        <w:rPr>
          <w:rFonts w:ascii="Arial" w:hAnsi="Arial" w:cs="Arial"/>
        </w:rPr>
        <w:t xml:space="preserve"> da Eurostat (diverso</w:t>
      </w:r>
      <w:r w:rsidRPr="000E4583">
        <w:rPr>
          <w:rFonts w:ascii="Arial" w:hAnsi="Arial" w:cs="Arial"/>
        </w:rPr>
        <w:t xml:space="preserve"> da quello </w:t>
      </w:r>
      <w:r>
        <w:rPr>
          <w:rFonts w:ascii="Arial" w:hAnsi="Arial" w:cs="Arial"/>
        </w:rPr>
        <w:t>adottato</w:t>
      </w:r>
      <w:r w:rsidRPr="000E4583">
        <w:rPr>
          <w:rFonts w:ascii="Arial" w:hAnsi="Arial" w:cs="Arial"/>
        </w:rPr>
        <w:t xml:space="preserve"> per le tipologie di prodotto del NIC), al fine di permettere </w:t>
      </w:r>
      <w:r>
        <w:rPr>
          <w:rFonts w:ascii="Arial" w:hAnsi="Arial" w:cs="Arial"/>
        </w:rPr>
        <w:t>l</w:t>
      </w:r>
      <w:r w:rsidRPr="000E4583">
        <w:rPr>
          <w:rFonts w:ascii="Arial" w:hAnsi="Arial" w:cs="Arial"/>
        </w:rPr>
        <w:t>a piena</w:t>
      </w:r>
      <w:r>
        <w:rPr>
          <w:rFonts w:ascii="Arial" w:hAnsi="Arial" w:cs="Arial"/>
        </w:rPr>
        <w:t xml:space="preserve"> </w:t>
      </w:r>
      <w:r w:rsidRPr="000E4583">
        <w:rPr>
          <w:rFonts w:ascii="Arial" w:hAnsi="Arial" w:cs="Arial"/>
        </w:rPr>
        <w:t xml:space="preserve">comparabilità tra gli indici italiani e quelli elaborati da Eurostat per l’Ue, la zona euro e gli altri </w:t>
      </w:r>
      <w:r w:rsidRPr="00FE6E08">
        <w:rPr>
          <w:rFonts w:ascii="Arial" w:hAnsi="Arial" w:cs="Arial"/>
        </w:rPr>
        <w:t>Paesi europei</w:t>
      </w:r>
      <w:r w:rsidRPr="00FE6E08">
        <w:rPr>
          <w:rFonts w:ascii="Arial" w:hAnsi="Arial"/>
          <w:vertAlign w:val="superscript"/>
        </w:rPr>
        <w:footnoteReference w:id="6"/>
      </w:r>
      <w:r w:rsidRPr="00FE6E08">
        <w:rPr>
          <w:rFonts w:ascii="Arial" w:hAnsi="Arial" w:cs="Arial"/>
        </w:rPr>
        <w:t xml:space="preserve">. Gli </w:t>
      </w:r>
      <w:r w:rsidRPr="00FE6E08">
        <w:rPr>
          <w:rFonts w:ascii="Arial" w:hAnsi="Arial" w:cs="Arial"/>
        </w:rPr>
        <w:lastRenderedPageBreak/>
        <w:t>IPCA-AS a partire dai dati definitivi di gennaio 2019 sono calcolati aggregando gli indici delle sottoclassi della ECOICOP (in precedenza, per il computo di questi indicatori erano utilizzati gli indici delle classi). Per una migliore fruibilità dei nuovi indicatori, le serie degli aggregati speciali, secondo il nuovo schema, sono state ricostruite per il periodo gennaio 2017 - dicembre 2018.</w:t>
      </w:r>
    </w:p>
    <w:p w:rsidR="00367107" w:rsidRPr="008E006C" w:rsidRDefault="00367107" w:rsidP="00367107">
      <w:pPr>
        <w:widowControl/>
        <w:tabs>
          <w:tab w:val="left" w:pos="10206"/>
        </w:tabs>
        <w:overflowPunct/>
        <w:spacing w:before="0" w:after="120"/>
        <w:jc w:val="both"/>
        <w:rPr>
          <w:rFonts w:ascii="Arial" w:hAnsi="Arial" w:cs="Arial"/>
          <w:szCs w:val="21"/>
        </w:rPr>
      </w:pPr>
    </w:p>
    <w:p w:rsidR="00367107" w:rsidRPr="00833545" w:rsidRDefault="00367107" w:rsidP="00367107">
      <w:pPr>
        <w:pStyle w:val="Rientrocorpodeltesto"/>
        <w:spacing w:before="0"/>
        <w:ind w:left="0" w:hanging="1"/>
        <w:rPr>
          <w:rFonts w:ascii="Arial" w:hAnsi="Arial" w:cs="Arial"/>
          <w:b/>
          <w:bCs/>
          <w:szCs w:val="22"/>
        </w:rPr>
      </w:pPr>
      <w:r w:rsidRPr="00833545">
        <w:rPr>
          <w:rFonts w:ascii="Arial" w:hAnsi="Arial" w:cs="Arial"/>
          <w:b/>
          <w:bCs/>
          <w:szCs w:val="22"/>
        </w:rPr>
        <w:t>Rilevazione e calcolo degli indici dei prezzi dei prodotti stagionali</w:t>
      </w:r>
    </w:p>
    <w:p w:rsidR="00367107" w:rsidRDefault="00367107" w:rsidP="00367107">
      <w:pPr>
        <w:spacing w:before="0" w:after="120"/>
        <w:jc w:val="both"/>
        <w:rPr>
          <w:rFonts w:ascii="Arial" w:hAnsi="Arial" w:cs="Arial"/>
        </w:rPr>
      </w:pPr>
      <w:r>
        <w:rPr>
          <w:rFonts w:ascii="Arial" w:hAnsi="Arial" w:cs="Arial"/>
        </w:rPr>
        <w:t>Dai dati di gennaio 2011 viene adottata la met</w:t>
      </w:r>
      <w:r w:rsidRPr="00463B41">
        <w:rPr>
          <w:rFonts w:ascii="Arial" w:hAnsi="Arial" w:cs="Arial"/>
        </w:rPr>
        <w:t xml:space="preserve">odologia di rilevazione e calcolo degli indici dei prezzi dei prodotti stagionali, </w:t>
      </w:r>
      <w:r w:rsidRPr="008C214F">
        <w:rPr>
          <w:rFonts w:ascii="Arial" w:hAnsi="Arial" w:cs="Arial"/>
        </w:rPr>
        <w:t xml:space="preserve">conforme alle norme previste </w:t>
      </w:r>
      <w:r>
        <w:rPr>
          <w:rFonts w:ascii="Arial" w:hAnsi="Arial" w:cs="Arial"/>
        </w:rPr>
        <w:t xml:space="preserve">prima dal Regolamento </w:t>
      </w:r>
      <w:r w:rsidRPr="00FC6C36">
        <w:rPr>
          <w:rFonts w:ascii="Arial" w:hAnsi="Arial" w:cs="Arial"/>
        </w:rPr>
        <w:t xml:space="preserve">(CE) n. 330/2009 del 22 aprile 2009 </w:t>
      </w:r>
      <w:r>
        <w:rPr>
          <w:rFonts w:ascii="Arial" w:hAnsi="Arial" w:cs="Arial"/>
        </w:rPr>
        <w:t>e poi dal</w:t>
      </w:r>
      <w:r w:rsidRPr="009927F3">
        <w:rPr>
          <w:rFonts w:ascii="Arial" w:hAnsi="Arial" w:cs="Arial"/>
        </w:rPr>
        <w:t xml:space="preserve"> Regolamento di Esecuzione (UE) n. 2020/1148 della Commissione del 31 luglio 2020</w:t>
      </w:r>
      <w:r>
        <w:rPr>
          <w:rFonts w:ascii="Arial" w:hAnsi="Arial" w:cs="Arial"/>
        </w:rPr>
        <w:t xml:space="preserve"> (che ha abrogato il Regolamento 330/2009)</w:t>
      </w:r>
      <w:r w:rsidRPr="008C214F">
        <w:rPr>
          <w:rFonts w:ascii="Arial" w:hAnsi="Arial" w:cs="Arial"/>
        </w:rPr>
        <w:t xml:space="preserve">, per i prodotti stagionali appartenenti </w:t>
      </w:r>
      <w:r>
        <w:rPr>
          <w:rFonts w:ascii="Arial" w:hAnsi="Arial" w:cs="Arial"/>
        </w:rPr>
        <w:t>ai gruppi e classi di prodotto</w:t>
      </w:r>
      <w:r w:rsidRPr="008C214F">
        <w:rPr>
          <w:rFonts w:ascii="Arial" w:hAnsi="Arial" w:cs="Arial"/>
        </w:rPr>
        <w:t xml:space="preserve"> </w:t>
      </w:r>
      <w:r w:rsidRPr="008C214F">
        <w:rPr>
          <w:rFonts w:ascii="Arial" w:hAnsi="Arial" w:cs="Arial"/>
          <w:i/>
        </w:rPr>
        <w:t>Frutta,</w:t>
      </w:r>
      <w:r w:rsidRPr="008C214F">
        <w:rPr>
          <w:rFonts w:ascii="Arial" w:hAnsi="Arial" w:cs="Arial"/>
        </w:rPr>
        <w:t xml:space="preserve"> </w:t>
      </w:r>
      <w:r w:rsidRPr="008C214F">
        <w:rPr>
          <w:rFonts w:ascii="Arial" w:hAnsi="Arial" w:cs="Arial"/>
          <w:i/>
        </w:rPr>
        <w:t>Vegetali</w:t>
      </w:r>
      <w:r w:rsidRPr="008C214F">
        <w:rPr>
          <w:rFonts w:ascii="Arial" w:hAnsi="Arial" w:cs="Arial"/>
        </w:rPr>
        <w:t xml:space="preserve">, </w:t>
      </w:r>
      <w:r w:rsidRPr="008C214F">
        <w:rPr>
          <w:rFonts w:ascii="Arial" w:hAnsi="Arial" w:cs="Arial"/>
          <w:i/>
        </w:rPr>
        <w:t>Abbigliamento e Calzature</w:t>
      </w:r>
      <w:r w:rsidRPr="008C214F">
        <w:rPr>
          <w:rFonts w:ascii="Arial" w:hAnsi="Arial" w:cs="Arial"/>
        </w:rPr>
        <w:t>.</w:t>
      </w:r>
      <w:r>
        <w:rPr>
          <w:rFonts w:ascii="Arial" w:hAnsi="Arial" w:cs="Arial"/>
        </w:rPr>
        <w:t xml:space="preserve"> La</w:t>
      </w:r>
      <w:r w:rsidRPr="00463B41">
        <w:rPr>
          <w:rFonts w:ascii="Arial" w:hAnsi="Arial" w:cs="Arial"/>
        </w:rPr>
        <w:t xml:space="preserve"> metodologia è </w:t>
      </w:r>
      <w:r>
        <w:rPr>
          <w:rFonts w:ascii="Arial" w:hAnsi="Arial" w:cs="Arial"/>
        </w:rPr>
        <w:t>adottata</w:t>
      </w:r>
      <w:r w:rsidRPr="00463B41">
        <w:rPr>
          <w:rFonts w:ascii="Arial" w:hAnsi="Arial" w:cs="Arial"/>
        </w:rPr>
        <w:t xml:space="preserve"> per</w:t>
      </w:r>
      <w:r>
        <w:rPr>
          <w:rFonts w:ascii="Arial" w:hAnsi="Arial" w:cs="Arial"/>
        </w:rPr>
        <w:t xml:space="preserve"> i tre</w:t>
      </w:r>
      <w:r w:rsidRPr="00463B41">
        <w:rPr>
          <w:rFonts w:ascii="Arial" w:hAnsi="Arial" w:cs="Arial"/>
        </w:rPr>
        <w:t xml:space="preserve"> indici NIC</w:t>
      </w:r>
      <w:r>
        <w:rPr>
          <w:rFonts w:ascii="Arial" w:hAnsi="Arial" w:cs="Arial"/>
        </w:rPr>
        <w:t>,</w:t>
      </w:r>
      <w:r w:rsidRPr="00463B41">
        <w:rPr>
          <w:rFonts w:ascii="Arial" w:hAnsi="Arial" w:cs="Arial"/>
        </w:rPr>
        <w:t xml:space="preserve"> FOI</w:t>
      </w:r>
      <w:r>
        <w:rPr>
          <w:rFonts w:ascii="Arial" w:hAnsi="Arial" w:cs="Arial"/>
        </w:rPr>
        <w:t xml:space="preserve"> e IPCA</w:t>
      </w:r>
      <w:r w:rsidRPr="00463B41">
        <w:rPr>
          <w:rFonts w:ascii="Arial" w:hAnsi="Arial" w:cs="Arial"/>
        </w:rPr>
        <w:t>.</w:t>
      </w:r>
    </w:p>
    <w:p w:rsidR="00367107" w:rsidRPr="00EF5CEA" w:rsidRDefault="00367107" w:rsidP="00367107">
      <w:pPr>
        <w:spacing w:before="0" w:after="120"/>
        <w:jc w:val="both"/>
        <w:rPr>
          <w:rFonts w:ascii="Arial" w:hAnsi="Arial" w:cs="Arial"/>
        </w:rPr>
      </w:pPr>
      <w:r w:rsidRPr="00EF5CEA">
        <w:rPr>
          <w:rFonts w:ascii="Arial" w:hAnsi="Arial" w:cs="Arial"/>
        </w:rPr>
        <w:t xml:space="preserve">Secondo il citato Regolamento si definisce </w:t>
      </w:r>
      <w:r w:rsidRPr="00EF5CEA">
        <w:rPr>
          <w:rFonts w:ascii="Arial" w:hAnsi="Arial" w:cs="Arial"/>
          <w:i/>
        </w:rPr>
        <w:t>prodotto stagionale</w:t>
      </w:r>
      <w:r w:rsidRPr="00EF5CEA">
        <w:rPr>
          <w:rFonts w:ascii="Arial" w:hAnsi="Arial" w:cs="Arial"/>
        </w:rPr>
        <w:t xml:space="preserve"> </w:t>
      </w:r>
      <w:r w:rsidRPr="00BA7814">
        <w:rPr>
          <w:rFonts w:ascii="Arial" w:hAnsi="Arial" w:cs="Arial"/>
        </w:rPr>
        <w:t>un singolo prodotto acquistabile o acquistato in quantità significative solo durante una parte</w:t>
      </w:r>
      <w:r>
        <w:rPr>
          <w:rFonts w:ascii="Arial" w:hAnsi="Arial" w:cs="Arial"/>
        </w:rPr>
        <w:t xml:space="preserve"> </w:t>
      </w:r>
      <w:r w:rsidRPr="00BA7814">
        <w:rPr>
          <w:rFonts w:ascii="Arial" w:hAnsi="Arial" w:cs="Arial"/>
        </w:rPr>
        <w:t>dell’anno secondo uno schema ricorrente</w:t>
      </w:r>
      <w:r w:rsidRPr="00EF5CEA">
        <w:rPr>
          <w:rFonts w:ascii="Arial" w:hAnsi="Arial" w:cs="Arial"/>
        </w:rPr>
        <w:t xml:space="preserve">. </w:t>
      </w:r>
    </w:p>
    <w:p w:rsidR="00367107" w:rsidRDefault="00367107" w:rsidP="00367107">
      <w:pPr>
        <w:pStyle w:val="Default"/>
        <w:spacing w:after="120"/>
        <w:jc w:val="both"/>
        <w:rPr>
          <w:rFonts w:ascii="Arial" w:hAnsi="Arial" w:cs="Arial"/>
          <w:sz w:val="20"/>
          <w:szCs w:val="20"/>
        </w:rPr>
      </w:pPr>
      <w:r w:rsidRPr="00463B41">
        <w:rPr>
          <w:rFonts w:ascii="Arial" w:hAnsi="Arial" w:cs="Arial"/>
          <w:sz w:val="20"/>
          <w:szCs w:val="20"/>
        </w:rPr>
        <w:t>Il Regolamento stabilisce</w:t>
      </w:r>
      <w:r>
        <w:rPr>
          <w:rFonts w:ascii="Arial" w:hAnsi="Arial" w:cs="Arial"/>
          <w:sz w:val="20"/>
          <w:szCs w:val="20"/>
        </w:rPr>
        <w:t>,</w:t>
      </w:r>
      <w:r w:rsidRPr="00463B41">
        <w:rPr>
          <w:rFonts w:ascii="Arial" w:hAnsi="Arial" w:cs="Arial"/>
          <w:sz w:val="20"/>
          <w:szCs w:val="20"/>
        </w:rPr>
        <w:t xml:space="preserve"> inoltre</w:t>
      </w:r>
      <w:r>
        <w:rPr>
          <w:rFonts w:ascii="Arial" w:hAnsi="Arial" w:cs="Arial"/>
          <w:sz w:val="20"/>
          <w:szCs w:val="20"/>
        </w:rPr>
        <w:t>,</w:t>
      </w:r>
      <w:r w:rsidRPr="00463B41">
        <w:rPr>
          <w:rFonts w:ascii="Arial" w:hAnsi="Arial" w:cs="Arial"/>
          <w:sz w:val="20"/>
          <w:szCs w:val="20"/>
        </w:rPr>
        <w:t xml:space="preserve"> che, in un dato mese, i prodotti stagionali </w:t>
      </w:r>
      <w:r>
        <w:rPr>
          <w:rFonts w:ascii="Arial" w:hAnsi="Arial" w:cs="Arial"/>
          <w:sz w:val="20"/>
          <w:szCs w:val="20"/>
        </w:rPr>
        <w:t>siano</w:t>
      </w:r>
      <w:r w:rsidRPr="00463B41">
        <w:rPr>
          <w:rFonts w:ascii="Arial" w:hAnsi="Arial" w:cs="Arial"/>
          <w:sz w:val="20"/>
          <w:szCs w:val="20"/>
        </w:rPr>
        <w:t xml:space="preserve"> considerati “in stagione” o “fuori stagione”. Sulla base di tale norma</w:t>
      </w:r>
      <w:r>
        <w:rPr>
          <w:rFonts w:ascii="Arial" w:hAnsi="Arial" w:cs="Arial"/>
          <w:sz w:val="20"/>
          <w:szCs w:val="20"/>
        </w:rPr>
        <w:t xml:space="preserve">, ogni anno, l’Istat provvede alla definizione del </w:t>
      </w:r>
      <w:r w:rsidRPr="00463B41">
        <w:rPr>
          <w:rFonts w:ascii="Arial" w:hAnsi="Arial" w:cs="Arial"/>
          <w:sz w:val="20"/>
          <w:szCs w:val="20"/>
        </w:rPr>
        <w:t xml:space="preserve">calendario mensile </w:t>
      </w:r>
      <w:r>
        <w:rPr>
          <w:rFonts w:ascii="Arial" w:hAnsi="Arial" w:cs="Arial"/>
          <w:sz w:val="20"/>
          <w:szCs w:val="20"/>
        </w:rPr>
        <w:t xml:space="preserve">valido </w:t>
      </w:r>
      <w:r w:rsidRPr="00463B41">
        <w:rPr>
          <w:rFonts w:ascii="Arial" w:hAnsi="Arial" w:cs="Arial"/>
          <w:sz w:val="20"/>
          <w:szCs w:val="20"/>
        </w:rPr>
        <w:t xml:space="preserve">per tutto </w:t>
      </w:r>
      <w:r>
        <w:rPr>
          <w:rFonts w:ascii="Arial" w:hAnsi="Arial" w:cs="Arial"/>
          <w:sz w:val="20"/>
          <w:szCs w:val="20"/>
        </w:rPr>
        <w:t>l’anno</w:t>
      </w:r>
      <w:r w:rsidRPr="00463B41">
        <w:rPr>
          <w:rFonts w:ascii="Arial" w:hAnsi="Arial" w:cs="Arial"/>
          <w:sz w:val="20"/>
          <w:szCs w:val="20"/>
        </w:rPr>
        <w:t xml:space="preserve">, che stabilisce in un dato mese quando </w:t>
      </w:r>
      <w:r>
        <w:rPr>
          <w:rFonts w:ascii="Arial" w:hAnsi="Arial" w:cs="Arial"/>
          <w:sz w:val="20"/>
          <w:szCs w:val="20"/>
        </w:rPr>
        <w:t>ogni</w:t>
      </w:r>
      <w:r w:rsidRPr="00463B41">
        <w:rPr>
          <w:rFonts w:ascii="Arial" w:hAnsi="Arial" w:cs="Arial"/>
          <w:sz w:val="20"/>
          <w:szCs w:val="20"/>
        </w:rPr>
        <w:t xml:space="preserve"> specifico prodotto, appartenente alle suddette categorie o ai suddetti gruppi, deve essere considerato </w:t>
      </w:r>
      <w:r>
        <w:rPr>
          <w:rFonts w:ascii="Arial" w:hAnsi="Arial" w:cs="Arial"/>
          <w:sz w:val="20"/>
          <w:szCs w:val="20"/>
        </w:rPr>
        <w:t>“</w:t>
      </w:r>
      <w:r w:rsidRPr="00463B41">
        <w:rPr>
          <w:rFonts w:ascii="Arial" w:hAnsi="Arial" w:cs="Arial"/>
          <w:i/>
          <w:sz w:val="20"/>
          <w:szCs w:val="20"/>
        </w:rPr>
        <w:t>in stagione</w:t>
      </w:r>
      <w:r>
        <w:rPr>
          <w:rFonts w:ascii="Arial" w:hAnsi="Arial" w:cs="Arial"/>
          <w:i/>
          <w:sz w:val="20"/>
          <w:szCs w:val="20"/>
        </w:rPr>
        <w:t>”</w:t>
      </w:r>
      <w:r w:rsidRPr="00463B41">
        <w:rPr>
          <w:rFonts w:ascii="Arial" w:hAnsi="Arial" w:cs="Arial"/>
          <w:sz w:val="20"/>
          <w:szCs w:val="20"/>
        </w:rPr>
        <w:t xml:space="preserve"> oppure </w:t>
      </w:r>
      <w:r>
        <w:rPr>
          <w:rFonts w:ascii="Arial" w:hAnsi="Arial" w:cs="Arial"/>
          <w:sz w:val="20"/>
          <w:szCs w:val="20"/>
        </w:rPr>
        <w:t>“</w:t>
      </w:r>
      <w:r w:rsidRPr="00463B41">
        <w:rPr>
          <w:rFonts w:ascii="Arial" w:hAnsi="Arial" w:cs="Arial"/>
          <w:i/>
          <w:sz w:val="20"/>
          <w:szCs w:val="20"/>
        </w:rPr>
        <w:t>fuori stagione</w:t>
      </w:r>
      <w:r>
        <w:rPr>
          <w:rFonts w:ascii="Arial" w:hAnsi="Arial" w:cs="Arial"/>
          <w:i/>
          <w:sz w:val="20"/>
          <w:szCs w:val="20"/>
        </w:rPr>
        <w:t>”</w:t>
      </w:r>
      <w:r w:rsidRPr="00463B41">
        <w:rPr>
          <w:rFonts w:ascii="Arial" w:hAnsi="Arial" w:cs="Arial"/>
          <w:sz w:val="20"/>
          <w:szCs w:val="20"/>
        </w:rPr>
        <w:t>.</w:t>
      </w:r>
      <w:r>
        <w:rPr>
          <w:rFonts w:ascii="Arial" w:hAnsi="Arial" w:cs="Arial"/>
          <w:sz w:val="20"/>
          <w:szCs w:val="20"/>
        </w:rPr>
        <w:t xml:space="preserve"> </w:t>
      </w:r>
      <w:r w:rsidRPr="00463B41">
        <w:rPr>
          <w:rFonts w:ascii="Arial" w:hAnsi="Arial" w:cs="Arial"/>
          <w:sz w:val="20"/>
          <w:szCs w:val="20"/>
        </w:rPr>
        <w:t>L’adozione di un calendar</w:t>
      </w:r>
      <w:r>
        <w:rPr>
          <w:rFonts w:ascii="Arial" w:hAnsi="Arial" w:cs="Arial"/>
          <w:sz w:val="20"/>
          <w:szCs w:val="20"/>
        </w:rPr>
        <w:t xml:space="preserve">io della stagionalità comporta che la </w:t>
      </w:r>
      <w:r w:rsidRPr="00463B41">
        <w:rPr>
          <w:rFonts w:ascii="Arial" w:hAnsi="Arial" w:cs="Arial"/>
          <w:sz w:val="20"/>
          <w:szCs w:val="20"/>
        </w:rPr>
        <w:t>rilevazione territoriale dei prezzi al consumo</w:t>
      </w:r>
      <w:r>
        <w:rPr>
          <w:rFonts w:ascii="Arial" w:hAnsi="Arial" w:cs="Arial"/>
          <w:sz w:val="20"/>
          <w:szCs w:val="20"/>
        </w:rPr>
        <w:t xml:space="preserve"> sia effettuata</w:t>
      </w:r>
      <w:r w:rsidRPr="00463B41">
        <w:rPr>
          <w:rFonts w:ascii="Arial" w:hAnsi="Arial" w:cs="Arial"/>
          <w:sz w:val="20"/>
          <w:szCs w:val="20"/>
        </w:rPr>
        <w:t xml:space="preserve"> solo nei mesi in cui il prodotto in questione è definito “</w:t>
      </w:r>
      <w:r w:rsidRPr="00463B41">
        <w:rPr>
          <w:rFonts w:ascii="Arial" w:hAnsi="Arial" w:cs="Arial"/>
          <w:i/>
          <w:sz w:val="20"/>
          <w:szCs w:val="20"/>
        </w:rPr>
        <w:t>in stagione</w:t>
      </w:r>
      <w:r w:rsidRPr="00463B41">
        <w:rPr>
          <w:rFonts w:ascii="Arial" w:hAnsi="Arial" w:cs="Arial"/>
          <w:sz w:val="20"/>
          <w:szCs w:val="20"/>
        </w:rPr>
        <w:t>”</w:t>
      </w:r>
      <w:r>
        <w:rPr>
          <w:rFonts w:ascii="Arial" w:hAnsi="Arial" w:cs="Arial"/>
          <w:sz w:val="20"/>
          <w:szCs w:val="20"/>
        </w:rPr>
        <w:t>, mentre i</w:t>
      </w:r>
      <w:r w:rsidRPr="00463B41">
        <w:rPr>
          <w:rFonts w:ascii="Arial" w:hAnsi="Arial" w:cs="Arial"/>
          <w:sz w:val="20"/>
          <w:szCs w:val="20"/>
        </w:rPr>
        <w:t xml:space="preserve"> prezzi dei prodotti “</w:t>
      </w:r>
      <w:r w:rsidRPr="00463B41">
        <w:rPr>
          <w:rFonts w:ascii="Arial" w:hAnsi="Arial" w:cs="Arial"/>
          <w:i/>
          <w:sz w:val="20"/>
          <w:szCs w:val="20"/>
        </w:rPr>
        <w:t>fuori stagione</w:t>
      </w:r>
      <w:r w:rsidRPr="00463B41">
        <w:rPr>
          <w:rFonts w:ascii="Arial" w:hAnsi="Arial" w:cs="Arial"/>
          <w:sz w:val="20"/>
          <w:szCs w:val="20"/>
        </w:rPr>
        <w:t>”</w:t>
      </w:r>
      <w:r>
        <w:rPr>
          <w:rFonts w:ascii="Arial" w:hAnsi="Arial" w:cs="Arial"/>
          <w:sz w:val="20"/>
          <w:szCs w:val="20"/>
        </w:rPr>
        <w:t xml:space="preserve"> sono stimati sulla base di una metodologia coerente con le indicazioni contenute nel Regolamento europeo</w:t>
      </w:r>
      <w:r w:rsidRPr="00463B41">
        <w:rPr>
          <w:rFonts w:ascii="Arial" w:hAnsi="Arial" w:cs="Arial"/>
          <w:sz w:val="20"/>
          <w:szCs w:val="20"/>
        </w:rPr>
        <w:t>.</w:t>
      </w:r>
    </w:p>
    <w:p w:rsidR="00367107" w:rsidRDefault="00367107" w:rsidP="00367107">
      <w:pPr>
        <w:pStyle w:val="Default"/>
        <w:spacing w:after="120"/>
        <w:jc w:val="both"/>
        <w:rPr>
          <w:rFonts w:ascii="Arial" w:hAnsi="Arial" w:cs="Arial"/>
          <w:sz w:val="20"/>
          <w:szCs w:val="20"/>
        </w:rPr>
      </w:pPr>
    </w:p>
    <w:p w:rsidR="00367107" w:rsidRPr="00833545" w:rsidRDefault="00367107" w:rsidP="00367107">
      <w:pPr>
        <w:spacing w:before="0" w:after="120"/>
        <w:jc w:val="both"/>
        <w:rPr>
          <w:rFonts w:ascii="Arial" w:hAnsi="Arial" w:cs="Arial"/>
          <w:b/>
          <w:sz w:val="22"/>
          <w:szCs w:val="22"/>
        </w:rPr>
      </w:pPr>
      <w:r w:rsidRPr="00833545">
        <w:rPr>
          <w:rFonts w:ascii="Arial" w:hAnsi="Arial" w:cs="Arial"/>
          <w:b/>
          <w:sz w:val="22"/>
          <w:szCs w:val="22"/>
        </w:rPr>
        <w:t>Stima preliminare degli indici dei prezzi al consumo IPCA: accuratezza e metodologia di calcolo</w:t>
      </w:r>
    </w:p>
    <w:p w:rsidR="00367107" w:rsidRPr="00703E31" w:rsidRDefault="00367107" w:rsidP="00367107">
      <w:pPr>
        <w:widowControl/>
        <w:overflowPunct/>
        <w:spacing w:before="0" w:after="120"/>
        <w:jc w:val="both"/>
        <w:rPr>
          <w:rFonts w:ascii="Arial" w:hAnsi="Arial" w:cs="Arial"/>
          <w:kern w:val="0"/>
        </w:rPr>
      </w:pPr>
      <w:r w:rsidRPr="00703E31">
        <w:rPr>
          <w:rFonts w:ascii="Arial" w:hAnsi="Arial" w:cs="Arial"/>
          <w:kern w:val="0"/>
        </w:rPr>
        <w:t xml:space="preserve">La diffusione degli indici dei prezzi al consumo avviene in due successivi istanti temporali secondo una diversa modalità di rilascio dei dati: prima come stima provvisoria, poi come stima definitiva. La diffusione della stima provvisoria degli indici IPCA (e degli indici NIC) avviene alla fine del mese di riferimento nel rispetto del calendario Eurostat di diffusione della stima anticipata dell’inflazione nell’area euro. </w:t>
      </w:r>
      <w:r w:rsidRPr="00B32C4A">
        <w:rPr>
          <w:rFonts w:ascii="Arial" w:hAnsi="Arial" w:cs="Arial"/>
          <w:kern w:val="0"/>
        </w:rPr>
        <w:t>Il rilascio dei dati definitivi avviene intorno alla metà del mese successivo a quello di riferimento</w:t>
      </w:r>
      <w:r w:rsidRPr="00703E31">
        <w:rPr>
          <w:rFonts w:ascii="Arial" w:hAnsi="Arial" w:cs="Arial"/>
          <w:kern w:val="0"/>
        </w:rPr>
        <w:t xml:space="preserve">. </w:t>
      </w:r>
    </w:p>
    <w:p w:rsidR="00367107" w:rsidRPr="00703E31" w:rsidRDefault="00367107" w:rsidP="00367107">
      <w:pPr>
        <w:spacing w:before="0" w:after="80"/>
        <w:jc w:val="both"/>
        <w:rPr>
          <w:rFonts w:ascii="Arial" w:hAnsi="Arial" w:cs="Arial"/>
        </w:rPr>
      </w:pPr>
      <w:r w:rsidRPr="00703E31">
        <w:rPr>
          <w:rFonts w:ascii="Arial" w:hAnsi="Arial" w:cs="Arial"/>
        </w:rPr>
        <w:t>La finalità della diffusione dei dati provvisori, sia dell’indice IPCA sia dall’indice NIC, è quella di fornire informazioni più tempestive sull’andamento dei prezzi al consumo, stimando nel modo più accurato possibile il dato definitivo dell’inflazione rilasciato circa due settimane dopo. In questo contesto, l’analisi delle revisioni delle stime provvisorie dei tassi tendenziali rappresenta un importante strumento per valutare il corretto bilanciamento tra le due dimensioni della qualità dei dati, tempestività e accuratezza.</w:t>
      </w:r>
    </w:p>
    <w:p w:rsidR="00367107" w:rsidRDefault="00367107" w:rsidP="00367107">
      <w:pPr>
        <w:spacing w:before="0" w:after="120"/>
        <w:jc w:val="both"/>
        <w:rPr>
          <w:rFonts w:ascii="Arial" w:hAnsi="Arial" w:cs="Arial"/>
          <w:szCs w:val="21"/>
        </w:rPr>
      </w:pPr>
      <w:r w:rsidRPr="00703E31">
        <w:rPr>
          <w:rFonts w:ascii="Arial" w:hAnsi="Arial" w:cs="Arial"/>
        </w:rPr>
        <w:t xml:space="preserve">In linea con la politica di </w:t>
      </w:r>
      <w:r w:rsidRPr="003F10CC">
        <w:rPr>
          <w:rFonts w:ascii="Arial" w:hAnsi="Arial" w:cs="Arial"/>
        </w:rPr>
        <w:t>diffusione di Eurostat</w:t>
      </w:r>
      <w:r>
        <w:rPr>
          <w:rFonts w:ascii="Arial" w:hAnsi="Arial" w:cs="Arial"/>
        </w:rPr>
        <w:t>,</w:t>
      </w:r>
      <w:r w:rsidRPr="00703E31">
        <w:rPr>
          <w:rFonts w:ascii="Arial" w:hAnsi="Arial" w:cs="Arial"/>
        </w:rPr>
        <w:t xml:space="preserve"> che pubblica mensilmente una nota sull’accuratezza della stima anticipata dell’inflazione per l’area euro, questa sezione è dedicata all’</w:t>
      </w:r>
      <w:r w:rsidRPr="00703E31">
        <w:rPr>
          <w:rFonts w:ascii="Arial" w:hAnsi="Arial" w:cs="Arial"/>
          <w:szCs w:val="21"/>
        </w:rPr>
        <w:t>analisi dell’accuratezza e alla metodologia utilizzata per il calcolo della stima preliminare dell’indice IPCA</w:t>
      </w:r>
      <w:r>
        <w:rPr>
          <w:rFonts w:ascii="Arial" w:hAnsi="Arial" w:cs="Arial"/>
          <w:szCs w:val="21"/>
        </w:rPr>
        <w:t>.</w:t>
      </w:r>
    </w:p>
    <w:p w:rsidR="00367107" w:rsidRPr="004F51BA" w:rsidRDefault="00367107" w:rsidP="00367107">
      <w:pPr>
        <w:spacing w:before="0" w:after="120"/>
        <w:jc w:val="both"/>
        <w:rPr>
          <w:rFonts w:ascii="Arial" w:hAnsi="Arial" w:cs="Arial"/>
        </w:rPr>
      </w:pPr>
    </w:p>
    <w:p w:rsidR="00367107" w:rsidRPr="005E554C" w:rsidRDefault="00367107" w:rsidP="00367107">
      <w:pPr>
        <w:pStyle w:val="Rientrocorpodeltesto"/>
        <w:spacing w:before="0"/>
        <w:ind w:left="0" w:hanging="1"/>
        <w:rPr>
          <w:rFonts w:ascii="Arial" w:hAnsi="Arial" w:cs="Arial"/>
          <w:b/>
          <w:bCs/>
          <w:szCs w:val="22"/>
        </w:rPr>
      </w:pPr>
      <w:r w:rsidRPr="005E554C">
        <w:rPr>
          <w:rFonts w:ascii="Arial" w:hAnsi="Arial" w:cs="Arial"/>
          <w:b/>
          <w:bCs/>
          <w:szCs w:val="22"/>
        </w:rPr>
        <w:t>Accuratezza delle stime preliminari</w:t>
      </w:r>
    </w:p>
    <w:p w:rsidR="00367107" w:rsidRDefault="00367107" w:rsidP="00367107">
      <w:pPr>
        <w:widowControl/>
        <w:overflowPunct/>
        <w:spacing w:before="0" w:after="120"/>
        <w:jc w:val="both"/>
        <w:rPr>
          <w:rFonts w:ascii="Arial" w:hAnsi="Arial" w:cs="Arial"/>
        </w:rPr>
      </w:pPr>
      <w:r w:rsidRPr="00C8504B">
        <w:rPr>
          <w:rFonts w:ascii="Arial" w:hAnsi="Arial" w:cs="Arial"/>
        </w:rPr>
        <w:t xml:space="preserve">Nel Prospetto 2 sono </w:t>
      </w:r>
      <w:r>
        <w:rPr>
          <w:rFonts w:ascii="Arial" w:hAnsi="Arial" w:cs="Arial"/>
        </w:rPr>
        <w:t>confrontati</w:t>
      </w:r>
      <w:r w:rsidRPr="00C8504B">
        <w:rPr>
          <w:rFonts w:ascii="Arial" w:hAnsi="Arial" w:cs="Arial"/>
        </w:rPr>
        <w:t xml:space="preserve"> i tassi di variazione tendenziale definitivi e provvisori </w:t>
      </w:r>
      <w:r w:rsidRPr="00BE4D42">
        <w:rPr>
          <w:rFonts w:ascii="Arial" w:hAnsi="Arial" w:cs="Arial"/>
        </w:rPr>
        <w:t>dell’indice generale IPCA e dei principali aggregati speciali per gli ultimi tredici mesi. In questo arco temporale, la differenza maggiore tra la stima definitiva e quella provvisoria del tasso tendenziale dell’ind</w:t>
      </w:r>
      <w:r>
        <w:rPr>
          <w:rFonts w:ascii="Arial" w:hAnsi="Arial" w:cs="Arial"/>
        </w:rPr>
        <w:t>ice generale è stata pari a +0,2</w:t>
      </w:r>
      <w:r w:rsidRPr="00BE4D42">
        <w:rPr>
          <w:rFonts w:ascii="Arial" w:hAnsi="Arial" w:cs="Arial"/>
        </w:rPr>
        <w:t xml:space="preserve"> punti percentuali, osservata </w:t>
      </w:r>
      <w:r>
        <w:rPr>
          <w:rFonts w:ascii="Arial" w:hAnsi="Arial" w:cs="Arial"/>
        </w:rPr>
        <w:t>a gennaio 2021</w:t>
      </w:r>
      <w:r w:rsidR="002434B2">
        <w:rPr>
          <w:rFonts w:ascii="Arial" w:hAnsi="Arial" w:cs="Arial"/>
        </w:rPr>
        <w:t xml:space="preserve"> e a gennaio 2022</w:t>
      </w:r>
      <w:r w:rsidRPr="00BE4D42">
        <w:rPr>
          <w:rFonts w:ascii="Arial" w:hAnsi="Arial" w:cs="Arial"/>
        </w:rPr>
        <w:t>. Con riferimento ai principali aggregati speciali, le differenze maggiori tra la stima definitiva e quella provvisoria in termini di tassi tendenziali hanno interessato l’aggreg</w:t>
      </w:r>
      <w:r>
        <w:rPr>
          <w:rFonts w:ascii="Arial" w:hAnsi="Arial" w:cs="Arial"/>
        </w:rPr>
        <w:t>ato degli Alimentari lavorati (-0,4</w:t>
      </w:r>
      <w:r w:rsidRPr="00BE4D42">
        <w:rPr>
          <w:rFonts w:ascii="Arial" w:hAnsi="Arial" w:cs="Arial"/>
        </w:rPr>
        <w:t xml:space="preserve"> punti percentuali </w:t>
      </w:r>
      <w:r>
        <w:rPr>
          <w:rFonts w:ascii="Arial" w:hAnsi="Arial" w:cs="Arial"/>
        </w:rPr>
        <w:t>ad aprile 2021</w:t>
      </w:r>
      <w:r w:rsidRPr="00BE4D42">
        <w:rPr>
          <w:rFonts w:ascii="Arial" w:hAnsi="Arial" w:cs="Arial"/>
        </w:rPr>
        <w:t>)</w:t>
      </w:r>
      <w:r>
        <w:rPr>
          <w:rFonts w:ascii="Arial" w:hAnsi="Arial" w:cs="Arial"/>
        </w:rPr>
        <w:t>,</w:t>
      </w:r>
      <w:r w:rsidRPr="00BE4D42">
        <w:rPr>
          <w:rFonts w:ascii="Arial" w:hAnsi="Arial" w:cs="Arial"/>
        </w:rPr>
        <w:t xml:space="preserve"> </w:t>
      </w:r>
      <w:r>
        <w:rPr>
          <w:rFonts w:ascii="Arial" w:hAnsi="Arial" w:cs="Arial"/>
        </w:rPr>
        <w:t>quello dell’Energia (+1,8 a luglio 2021 e +1,9 a ottobre 2021</w:t>
      </w:r>
      <w:r w:rsidRPr="00BE4D42">
        <w:rPr>
          <w:rFonts w:ascii="Arial" w:hAnsi="Arial" w:cs="Arial"/>
        </w:rPr>
        <w:t>)</w:t>
      </w:r>
      <w:r>
        <w:rPr>
          <w:rFonts w:ascii="Arial" w:hAnsi="Arial" w:cs="Arial"/>
        </w:rPr>
        <w:t xml:space="preserve"> e quello dei </w:t>
      </w:r>
      <w:r w:rsidRPr="00CA1858">
        <w:rPr>
          <w:rFonts w:ascii="Arial" w:hAnsi="Arial" w:cs="Arial"/>
        </w:rPr>
        <w:t>Beni industriali non energetici</w:t>
      </w:r>
      <w:r>
        <w:rPr>
          <w:rFonts w:ascii="Arial" w:hAnsi="Arial" w:cs="Arial"/>
        </w:rPr>
        <w:t xml:space="preserve"> (+0,5 a gennaio 2021</w:t>
      </w:r>
      <w:r w:rsidR="005E6D16">
        <w:rPr>
          <w:rFonts w:ascii="Arial" w:hAnsi="Arial" w:cs="Arial"/>
        </w:rPr>
        <w:t xml:space="preserve"> e -0,8 a gennaio 2022</w:t>
      </w:r>
      <w:r>
        <w:rPr>
          <w:rFonts w:ascii="Arial" w:hAnsi="Arial" w:cs="Arial"/>
        </w:rPr>
        <w:t>)</w:t>
      </w:r>
      <w:r w:rsidRPr="00BE4D42">
        <w:rPr>
          <w:rFonts w:ascii="Arial" w:hAnsi="Arial" w:cs="Arial"/>
        </w:rPr>
        <w:t>.</w:t>
      </w:r>
    </w:p>
    <w:p w:rsidR="00367107" w:rsidRPr="00BE4D42" w:rsidRDefault="00367107" w:rsidP="00367107">
      <w:pPr>
        <w:widowControl/>
        <w:overflowPunct/>
        <w:spacing w:before="0" w:after="120"/>
        <w:jc w:val="both"/>
        <w:rPr>
          <w:rFonts w:ascii="Arial" w:hAnsi="Arial" w:cs="Arial"/>
        </w:rPr>
      </w:pPr>
      <w:r>
        <w:rPr>
          <w:rFonts w:ascii="Arial" w:hAnsi="Arial" w:cs="Arial"/>
        </w:rPr>
        <w:t>L</w:t>
      </w:r>
      <w:r w:rsidRPr="00C8504B">
        <w:rPr>
          <w:rFonts w:ascii="Arial" w:hAnsi="Arial" w:cs="Arial"/>
        </w:rPr>
        <w:t>a più ele</w:t>
      </w:r>
      <w:r>
        <w:rPr>
          <w:rFonts w:ascii="Arial" w:hAnsi="Arial" w:cs="Arial"/>
        </w:rPr>
        <w:t>vata frequenza delle revisioni</w:t>
      </w:r>
      <w:r w:rsidRPr="00C8504B">
        <w:rPr>
          <w:rFonts w:ascii="Arial" w:hAnsi="Arial" w:cs="Arial"/>
        </w:rPr>
        <w:t xml:space="preserve"> </w:t>
      </w:r>
      <w:r>
        <w:rPr>
          <w:rFonts w:ascii="Arial" w:hAnsi="Arial" w:cs="Arial"/>
        </w:rPr>
        <w:t>è osservata negli a</w:t>
      </w:r>
      <w:r w:rsidRPr="00C8504B">
        <w:rPr>
          <w:rFonts w:ascii="Arial" w:hAnsi="Arial" w:cs="Arial"/>
        </w:rPr>
        <w:t>ggregat</w:t>
      </w:r>
      <w:r>
        <w:rPr>
          <w:rFonts w:ascii="Arial" w:hAnsi="Arial" w:cs="Arial"/>
        </w:rPr>
        <w:t>i</w:t>
      </w:r>
      <w:r w:rsidRPr="00C8504B">
        <w:rPr>
          <w:rFonts w:ascii="Arial" w:hAnsi="Arial" w:cs="Arial"/>
        </w:rPr>
        <w:t xml:space="preserve"> dei</w:t>
      </w:r>
      <w:r>
        <w:rPr>
          <w:rFonts w:ascii="Arial" w:hAnsi="Arial" w:cs="Arial"/>
        </w:rPr>
        <w:t xml:space="preserve"> Beni alimentari lavorati (12 mesi sui 13 in</w:t>
      </w:r>
      <w:r w:rsidRPr="00C8504B">
        <w:rPr>
          <w:rFonts w:ascii="Arial" w:hAnsi="Arial" w:cs="Arial"/>
        </w:rPr>
        <w:t xml:space="preserve"> esame</w:t>
      </w:r>
      <w:r>
        <w:rPr>
          <w:rFonts w:ascii="Arial" w:hAnsi="Arial" w:cs="Arial"/>
        </w:rPr>
        <w:t>, imputabile in larga parte all’utilizzo, per la stima preliminare, degli scanner data, riferiti ai prezzi dei prodotti grocery provenienti dalla GDO, di una/due settimane rispetto alle tre incluse nell’indice definitivo) e dei Beni industriali non energetici (</w:t>
      </w:r>
      <w:r w:rsidR="005E6D16">
        <w:rPr>
          <w:rFonts w:ascii="Arial" w:hAnsi="Arial" w:cs="Arial"/>
        </w:rPr>
        <w:t>10</w:t>
      </w:r>
      <w:r>
        <w:rPr>
          <w:rFonts w:ascii="Arial" w:hAnsi="Arial" w:cs="Arial"/>
        </w:rPr>
        <w:t xml:space="preserve"> mesi su 13, </w:t>
      </w:r>
      <w:r w:rsidRPr="003F5AF2">
        <w:rPr>
          <w:rFonts w:ascii="Arial" w:hAnsi="Arial" w:cs="Arial"/>
        </w:rPr>
        <w:t>da ascrivere principalmente alla dinamica dei saldi</w:t>
      </w:r>
      <w:r>
        <w:rPr>
          <w:rFonts w:ascii="Arial" w:hAnsi="Arial" w:cs="Arial"/>
        </w:rPr>
        <w:t xml:space="preserve"> dell’Abbigliamento e calzature</w:t>
      </w:r>
      <w:r w:rsidRPr="00EC5EF1">
        <w:rPr>
          <w:rFonts w:ascii="Arial" w:hAnsi="Arial" w:cs="Arial"/>
        </w:rPr>
        <w:t xml:space="preserve"> </w:t>
      </w:r>
      <w:r>
        <w:rPr>
          <w:rFonts w:ascii="Arial" w:hAnsi="Arial" w:cs="Arial"/>
        </w:rPr>
        <w:t>e alla disponibilità</w:t>
      </w:r>
      <w:r w:rsidRPr="00670A53">
        <w:rPr>
          <w:rFonts w:ascii="Arial" w:hAnsi="Arial" w:cs="Arial"/>
        </w:rPr>
        <w:t xml:space="preserve"> </w:t>
      </w:r>
      <w:r w:rsidRPr="007C7C79">
        <w:rPr>
          <w:rFonts w:ascii="Arial" w:hAnsi="Arial" w:cs="Arial"/>
        </w:rPr>
        <w:t>per la stima preliminare</w:t>
      </w:r>
      <w:r>
        <w:rPr>
          <w:rFonts w:ascii="Arial" w:hAnsi="Arial" w:cs="Arial"/>
        </w:rPr>
        <w:t>, con riferimento ad alcune categorie di Beni durevoli,</w:t>
      </w:r>
      <w:r w:rsidRPr="007C7C79">
        <w:t xml:space="preserve"> </w:t>
      </w:r>
      <w:r>
        <w:rPr>
          <w:rFonts w:ascii="Arial" w:hAnsi="Arial" w:cs="Arial"/>
        </w:rPr>
        <w:t>dei</w:t>
      </w:r>
      <w:r w:rsidRPr="007C7C79">
        <w:rPr>
          <w:rFonts w:ascii="Arial" w:hAnsi="Arial" w:cs="Arial"/>
        </w:rPr>
        <w:t xml:space="preserve"> </w:t>
      </w:r>
      <w:r>
        <w:rPr>
          <w:rFonts w:ascii="Arial" w:hAnsi="Arial" w:cs="Arial"/>
        </w:rPr>
        <w:t xml:space="preserve">dati </w:t>
      </w:r>
      <w:r w:rsidRPr="007C7C79">
        <w:rPr>
          <w:rFonts w:ascii="Arial" w:hAnsi="Arial" w:cs="Arial"/>
        </w:rPr>
        <w:t xml:space="preserve">riferiti </w:t>
      </w:r>
      <w:r>
        <w:rPr>
          <w:rFonts w:ascii="Arial" w:hAnsi="Arial" w:cs="Arial"/>
        </w:rPr>
        <w:t>a</w:t>
      </w:r>
      <w:r w:rsidRPr="007C7C79">
        <w:rPr>
          <w:rFonts w:ascii="Arial" w:hAnsi="Arial" w:cs="Arial"/>
        </w:rPr>
        <w:t xml:space="preserve"> </w:t>
      </w:r>
      <w:r>
        <w:rPr>
          <w:rFonts w:ascii="Arial" w:hAnsi="Arial" w:cs="Arial"/>
        </w:rPr>
        <w:t>una/</w:t>
      </w:r>
      <w:r w:rsidRPr="007C7C79">
        <w:rPr>
          <w:rFonts w:ascii="Arial" w:hAnsi="Arial" w:cs="Arial"/>
        </w:rPr>
        <w:t xml:space="preserve">due settimane rispetto </w:t>
      </w:r>
      <w:r>
        <w:rPr>
          <w:rFonts w:ascii="Arial" w:hAnsi="Arial" w:cs="Arial"/>
        </w:rPr>
        <w:t>al</w:t>
      </w:r>
      <w:r w:rsidRPr="007C7C79">
        <w:rPr>
          <w:rFonts w:ascii="Arial" w:hAnsi="Arial" w:cs="Arial"/>
        </w:rPr>
        <w:t>le tre incluse nell’indice definitivo</w:t>
      </w:r>
      <w:r>
        <w:rPr>
          <w:rFonts w:ascii="Arial" w:hAnsi="Arial" w:cs="Arial"/>
        </w:rPr>
        <w:t xml:space="preserve">); </w:t>
      </w:r>
      <w:r w:rsidRPr="00C8504B">
        <w:rPr>
          <w:rFonts w:ascii="Arial" w:hAnsi="Arial" w:cs="Arial"/>
        </w:rPr>
        <w:t>l’incompletezza delle informazioni utilizzate per il calcolo ha un impatto maggiore sulle stime provvisorie</w:t>
      </w:r>
      <w:r>
        <w:rPr>
          <w:rFonts w:ascii="Arial" w:hAnsi="Arial" w:cs="Arial"/>
        </w:rPr>
        <w:t xml:space="preserve"> di questi aggregati speciali</w:t>
      </w:r>
      <w:r w:rsidRPr="00C8504B">
        <w:rPr>
          <w:rFonts w:ascii="Arial" w:hAnsi="Arial" w:cs="Arial"/>
        </w:rPr>
        <w:t xml:space="preserve"> che</w:t>
      </w:r>
      <w:r>
        <w:rPr>
          <w:rFonts w:ascii="Arial" w:hAnsi="Arial" w:cs="Arial"/>
        </w:rPr>
        <w:t>,</w:t>
      </w:r>
      <w:r w:rsidRPr="00C8504B">
        <w:rPr>
          <w:rFonts w:ascii="Arial" w:hAnsi="Arial" w:cs="Arial"/>
        </w:rPr>
        <w:t xml:space="preserve"> di conseguenza</w:t>
      </w:r>
      <w:r>
        <w:rPr>
          <w:rFonts w:ascii="Arial" w:hAnsi="Arial" w:cs="Arial"/>
        </w:rPr>
        <w:t>,</w:t>
      </w:r>
      <w:r w:rsidRPr="00C8504B">
        <w:rPr>
          <w:rFonts w:ascii="Arial" w:hAnsi="Arial" w:cs="Arial"/>
        </w:rPr>
        <w:t xml:space="preserve"> risultano essere meno accurate</w:t>
      </w:r>
      <w:r>
        <w:rPr>
          <w:rFonts w:ascii="Arial" w:hAnsi="Arial" w:cs="Arial"/>
        </w:rPr>
        <w:t>.</w:t>
      </w:r>
    </w:p>
    <w:p w:rsidR="00367107" w:rsidRDefault="00367107" w:rsidP="00367107">
      <w:pPr>
        <w:widowControl/>
        <w:overflowPunct/>
        <w:spacing w:before="0" w:after="120"/>
        <w:jc w:val="both"/>
        <w:rPr>
          <w:rFonts w:ascii="Arial" w:hAnsi="Arial" w:cs="Arial"/>
        </w:rPr>
      </w:pPr>
    </w:p>
    <w:p w:rsidR="009422A5" w:rsidRDefault="009422A5" w:rsidP="00367107">
      <w:pPr>
        <w:widowControl/>
        <w:overflowPunct/>
        <w:spacing w:before="0" w:after="120"/>
        <w:jc w:val="both"/>
        <w:rPr>
          <w:rFonts w:ascii="Arial" w:hAnsi="Arial" w:cs="Arial"/>
        </w:rPr>
      </w:pPr>
    </w:p>
    <w:p w:rsidR="00367107" w:rsidRPr="000A5D98" w:rsidRDefault="00367107" w:rsidP="00367107">
      <w:pPr>
        <w:pStyle w:val="001TitoGra"/>
        <w:spacing w:after="120" w:line="240" w:lineRule="auto"/>
        <w:jc w:val="both"/>
        <w:rPr>
          <w:vertAlign w:val="superscript"/>
        </w:rPr>
      </w:pPr>
      <w:r w:rsidRPr="00C8504B">
        <w:rPr>
          <w:rStyle w:val="001TitoGraRed"/>
        </w:rPr>
        <w:t>PROSPETTO 2.</w:t>
      </w:r>
      <w:r w:rsidRPr="00C8504B">
        <w:t xml:space="preserve"> STIME PRELIMINARI E DEFINITIVE DEGLI INDICI DEI PREZZI AL CONSUMO IPCA E DEI PRINCIPALI AGGREGATI SPECIALI</w:t>
      </w:r>
      <w:r>
        <w:rPr>
          <w:b w:val="0"/>
          <w:sz w:val="20"/>
          <w:szCs w:val="20"/>
        </w:rPr>
        <w:t xml:space="preserve">. </w:t>
      </w:r>
      <w:r w:rsidR="002434B2">
        <w:rPr>
          <w:b w:val="0"/>
          <w:sz w:val="20"/>
          <w:szCs w:val="20"/>
        </w:rPr>
        <w:t>Gennaio</w:t>
      </w:r>
      <w:r w:rsidRPr="00B15377">
        <w:rPr>
          <w:b w:val="0"/>
          <w:sz w:val="20"/>
          <w:szCs w:val="20"/>
        </w:rPr>
        <w:t xml:space="preserve"> </w:t>
      </w:r>
      <w:r>
        <w:rPr>
          <w:b w:val="0"/>
          <w:sz w:val="20"/>
          <w:szCs w:val="20"/>
        </w:rPr>
        <w:t>202</w:t>
      </w:r>
      <w:r w:rsidR="002434B2">
        <w:rPr>
          <w:b w:val="0"/>
          <w:sz w:val="20"/>
          <w:szCs w:val="20"/>
        </w:rPr>
        <w:t>1</w:t>
      </w:r>
      <w:r w:rsidRPr="00C8504B">
        <w:rPr>
          <w:b w:val="0"/>
          <w:sz w:val="20"/>
          <w:szCs w:val="20"/>
        </w:rPr>
        <w:t xml:space="preserve"> </w:t>
      </w:r>
      <w:r>
        <w:rPr>
          <w:b w:val="0"/>
          <w:sz w:val="20"/>
          <w:szCs w:val="20"/>
        </w:rPr>
        <w:t xml:space="preserve">– </w:t>
      </w:r>
      <w:r w:rsidR="002434B2">
        <w:rPr>
          <w:b w:val="0"/>
          <w:sz w:val="20"/>
          <w:szCs w:val="20"/>
        </w:rPr>
        <w:t>gennaio 2022</w:t>
      </w:r>
      <w:r w:rsidRPr="00C8504B">
        <w:rPr>
          <w:b w:val="0"/>
          <w:sz w:val="20"/>
          <w:szCs w:val="20"/>
        </w:rPr>
        <w:t>, valori percentuali tendenziali (base 2015=100</w:t>
      </w:r>
      <w:r>
        <w:rPr>
          <w:b w:val="0"/>
          <w:sz w:val="20"/>
          <w:szCs w:val="20"/>
        </w:rPr>
        <w:t>)</w:t>
      </w:r>
    </w:p>
    <w:tbl>
      <w:tblPr>
        <w:tblW w:w="10049" w:type="dxa"/>
        <w:jc w:val="center"/>
        <w:tblCellMar>
          <w:left w:w="70" w:type="dxa"/>
          <w:right w:w="70" w:type="dxa"/>
        </w:tblCellMar>
        <w:tblLook w:val="04A0" w:firstRow="1" w:lastRow="0" w:firstColumn="1" w:lastColumn="0" w:noHBand="0" w:noVBand="1"/>
      </w:tblPr>
      <w:tblGrid>
        <w:gridCol w:w="3261"/>
        <w:gridCol w:w="285"/>
        <w:gridCol w:w="490"/>
        <w:gridCol w:w="490"/>
        <w:gridCol w:w="503"/>
        <w:gridCol w:w="502"/>
        <w:gridCol w:w="502"/>
        <w:gridCol w:w="502"/>
        <w:gridCol w:w="502"/>
        <w:gridCol w:w="502"/>
        <w:gridCol w:w="502"/>
        <w:gridCol w:w="502"/>
        <w:gridCol w:w="502"/>
        <w:gridCol w:w="502"/>
        <w:gridCol w:w="502"/>
      </w:tblGrid>
      <w:tr w:rsidR="002434B2" w:rsidRPr="005E795F" w:rsidTr="002434B2">
        <w:trPr>
          <w:trHeight w:val="316"/>
          <w:jc w:val="center"/>
        </w:trPr>
        <w:tc>
          <w:tcPr>
            <w:tcW w:w="3261" w:type="dxa"/>
            <w:tcBorders>
              <w:top w:val="single" w:sz="4" w:space="0" w:color="auto"/>
              <w:left w:val="nil"/>
              <w:bottom w:val="single" w:sz="4" w:space="0" w:color="auto"/>
              <w:right w:val="nil"/>
            </w:tcBorders>
            <w:shd w:val="clear" w:color="000000" w:fill="FFFFFF"/>
            <w:noWrap/>
            <w:vAlign w:val="center"/>
            <w:hideMark/>
          </w:tcPr>
          <w:p w:rsidR="002434B2" w:rsidRPr="00AA6646" w:rsidRDefault="002434B2" w:rsidP="00367107">
            <w:pPr>
              <w:widowControl/>
              <w:overflowPunct/>
              <w:autoSpaceDE/>
              <w:autoSpaceDN/>
              <w:adjustRightInd/>
              <w:spacing w:before="0" w:after="0"/>
              <w:rPr>
                <w:rFonts w:ascii="Arial Narrow" w:hAnsi="Arial Narrow"/>
                <w:b/>
                <w:bCs/>
                <w:color w:val="000000"/>
                <w:kern w:val="0"/>
                <w:sz w:val="18"/>
                <w:szCs w:val="18"/>
              </w:rPr>
            </w:pPr>
            <w:r w:rsidRPr="00AA6646">
              <w:rPr>
                <w:rFonts w:ascii="Arial Narrow" w:hAnsi="Arial Narrow"/>
                <w:b/>
                <w:bCs/>
                <w:color w:val="000000"/>
                <w:kern w:val="0"/>
                <w:sz w:val="18"/>
                <w:szCs w:val="18"/>
              </w:rPr>
              <w:t>Aggregati speciali</w:t>
            </w:r>
          </w:p>
        </w:tc>
        <w:tc>
          <w:tcPr>
            <w:tcW w:w="285" w:type="dxa"/>
            <w:tcBorders>
              <w:top w:val="single" w:sz="4" w:space="0" w:color="auto"/>
              <w:left w:val="nil"/>
              <w:bottom w:val="single" w:sz="4" w:space="0" w:color="auto"/>
              <w:right w:val="nil"/>
            </w:tcBorders>
            <w:shd w:val="clear" w:color="000000" w:fill="FFFFFF"/>
            <w:noWrap/>
            <w:vAlign w:val="center"/>
            <w:hideMark/>
          </w:tcPr>
          <w:p w:rsidR="002434B2" w:rsidRPr="00AA6646" w:rsidRDefault="002434B2" w:rsidP="00367107">
            <w:pPr>
              <w:widowControl/>
              <w:overflowPunct/>
              <w:autoSpaceDE/>
              <w:autoSpaceDN/>
              <w:adjustRightInd/>
              <w:spacing w:before="0" w:after="0"/>
              <w:jc w:val="center"/>
              <w:rPr>
                <w:rFonts w:ascii="Arial Narrow" w:hAnsi="Arial Narrow"/>
                <w:b/>
                <w:bCs/>
                <w:color w:val="000000"/>
                <w:kern w:val="0"/>
                <w:sz w:val="18"/>
                <w:szCs w:val="18"/>
              </w:rPr>
            </w:pPr>
            <w:r w:rsidRPr="00AA6646">
              <w:rPr>
                <w:rFonts w:ascii="Arial Narrow" w:hAnsi="Arial Narrow"/>
                <w:b/>
                <w:bCs/>
                <w:color w:val="000000"/>
                <w:kern w:val="0"/>
                <w:sz w:val="18"/>
                <w:szCs w:val="18"/>
              </w:rPr>
              <w:t> </w:t>
            </w:r>
          </w:p>
        </w:tc>
        <w:tc>
          <w:tcPr>
            <w:tcW w:w="490"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gen-21</w:t>
            </w:r>
          </w:p>
        </w:tc>
        <w:tc>
          <w:tcPr>
            <w:tcW w:w="490"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feb-21</w:t>
            </w:r>
          </w:p>
        </w:tc>
        <w:tc>
          <w:tcPr>
            <w:tcW w:w="503"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mar-21</w:t>
            </w:r>
          </w:p>
        </w:tc>
        <w:tc>
          <w:tcPr>
            <w:tcW w:w="502"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apr-21</w:t>
            </w:r>
          </w:p>
        </w:tc>
        <w:tc>
          <w:tcPr>
            <w:tcW w:w="502"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mag-21</w:t>
            </w:r>
          </w:p>
        </w:tc>
        <w:tc>
          <w:tcPr>
            <w:tcW w:w="502"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giu-21</w:t>
            </w:r>
          </w:p>
        </w:tc>
        <w:tc>
          <w:tcPr>
            <w:tcW w:w="502" w:type="dxa"/>
            <w:tcBorders>
              <w:top w:val="single" w:sz="4" w:space="0" w:color="auto"/>
              <w:left w:val="nil"/>
              <w:bottom w:val="single" w:sz="4" w:space="0" w:color="auto"/>
              <w:right w:val="nil"/>
            </w:tcBorders>
            <w:shd w:val="clear" w:color="000000" w:fill="FFFFFF"/>
          </w:tcPr>
          <w:p w:rsidR="002434B2" w:rsidRPr="00033865" w:rsidRDefault="002434B2" w:rsidP="00367107">
            <w:pPr>
              <w:ind w:left="-153" w:right="-13"/>
              <w:jc w:val="right"/>
              <w:rPr>
                <w:rFonts w:ascii="Arial Narrow" w:hAnsi="Arial Narrow"/>
                <w:b/>
                <w:bCs/>
                <w:color w:val="000000"/>
                <w:kern w:val="0"/>
                <w:sz w:val="16"/>
                <w:szCs w:val="18"/>
              </w:rPr>
            </w:pPr>
            <w:r w:rsidRPr="00033865">
              <w:rPr>
                <w:rFonts w:ascii="Arial Narrow" w:hAnsi="Arial Narrow"/>
                <w:b/>
                <w:bCs/>
                <w:color w:val="000000"/>
                <w:kern w:val="0"/>
                <w:sz w:val="16"/>
                <w:szCs w:val="18"/>
              </w:rPr>
              <w:t>lug-21</w:t>
            </w:r>
          </w:p>
        </w:tc>
        <w:tc>
          <w:tcPr>
            <w:tcW w:w="502" w:type="dxa"/>
            <w:tcBorders>
              <w:top w:val="single" w:sz="4" w:space="0" w:color="auto"/>
              <w:left w:val="nil"/>
              <w:bottom w:val="single" w:sz="4" w:space="0" w:color="auto"/>
              <w:right w:val="nil"/>
            </w:tcBorders>
            <w:shd w:val="clear" w:color="000000" w:fill="FFFFFF"/>
          </w:tcPr>
          <w:p w:rsidR="002434B2" w:rsidRPr="0006075A" w:rsidRDefault="002434B2" w:rsidP="00367107">
            <w:pPr>
              <w:ind w:left="-153" w:right="-13"/>
              <w:jc w:val="right"/>
              <w:rPr>
                <w:rFonts w:ascii="Arial Narrow" w:hAnsi="Arial Narrow"/>
                <w:b/>
                <w:bCs/>
                <w:color w:val="000000"/>
                <w:kern w:val="0"/>
                <w:sz w:val="16"/>
                <w:szCs w:val="18"/>
              </w:rPr>
            </w:pPr>
            <w:r w:rsidRPr="0006075A">
              <w:rPr>
                <w:rFonts w:ascii="Arial Narrow" w:hAnsi="Arial Narrow"/>
                <w:b/>
                <w:bCs/>
                <w:color w:val="000000"/>
                <w:kern w:val="0"/>
                <w:sz w:val="16"/>
                <w:szCs w:val="18"/>
              </w:rPr>
              <w:t>ago-21</w:t>
            </w:r>
          </w:p>
        </w:tc>
        <w:tc>
          <w:tcPr>
            <w:tcW w:w="502" w:type="dxa"/>
            <w:tcBorders>
              <w:top w:val="single" w:sz="4" w:space="0" w:color="auto"/>
              <w:left w:val="nil"/>
              <w:bottom w:val="single" w:sz="4" w:space="0" w:color="auto"/>
              <w:right w:val="nil"/>
            </w:tcBorders>
            <w:shd w:val="clear" w:color="000000" w:fill="FFFFFF"/>
          </w:tcPr>
          <w:p w:rsidR="002434B2" w:rsidRPr="0006075A"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set-21</w:t>
            </w:r>
          </w:p>
        </w:tc>
        <w:tc>
          <w:tcPr>
            <w:tcW w:w="502"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ott-21</w:t>
            </w:r>
          </w:p>
        </w:tc>
        <w:tc>
          <w:tcPr>
            <w:tcW w:w="502" w:type="dxa"/>
            <w:tcBorders>
              <w:top w:val="single" w:sz="4" w:space="0" w:color="auto"/>
              <w:left w:val="nil"/>
              <w:bottom w:val="single" w:sz="4" w:space="0" w:color="auto"/>
              <w:right w:val="nil"/>
            </w:tcBorders>
            <w:shd w:val="clear" w:color="000000" w:fill="FFFFFF"/>
            <w:vAlign w:val="center"/>
          </w:tcPr>
          <w:p w:rsidR="002434B2" w:rsidRPr="00113EC4" w:rsidRDefault="002434B2" w:rsidP="00367107">
            <w:pPr>
              <w:ind w:left="-153" w:right="-13"/>
              <w:jc w:val="right"/>
              <w:rPr>
                <w:rFonts w:ascii="Arial Narrow" w:hAnsi="Arial Narrow"/>
                <w:b/>
                <w:bCs/>
                <w:color w:val="000000"/>
                <w:kern w:val="0"/>
                <w:sz w:val="16"/>
                <w:szCs w:val="18"/>
              </w:rPr>
            </w:pPr>
            <w:r w:rsidRPr="00113EC4">
              <w:rPr>
                <w:rFonts w:ascii="Arial Narrow" w:hAnsi="Arial Narrow"/>
                <w:b/>
                <w:bCs/>
                <w:color w:val="000000"/>
                <w:kern w:val="0"/>
                <w:sz w:val="16"/>
                <w:szCs w:val="18"/>
              </w:rPr>
              <w:t>nov-21</w:t>
            </w:r>
          </w:p>
        </w:tc>
        <w:tc>
          <w:tcPr>
            <w:tcW w:w="502" w:type="dxa"/>
            <w:tcBorders>
              <w:top w:val="single" w:sz="4" w:space="0" w:color="auto"/>
              <w:left w:val="nil"/>
              <w:bottom w:val="single" w:sz="4" w:space="0" w:color="auto"/>
              <w:right w:val="nil"/>
            </w:tcBorders>
            <w:shd w:val="clear" w:color="000000" w:fill="FFFFFF"/>
          </w:tcPr>
          <w:p w:rsidR="002434B2" w:rsidRPr="00113EC4"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dic</w:t>
            </w:r>
            <w:r w:rsidRPr="00113EC4">
              <w:rPr>
                <w:rFonts w:ascii="Arial Narrow" w:hAnsi="Arial Narrow"/>
                <w:b/>
                <w:bCs/>
                <w:color w:val="000000"/>
                <w:kern w:val="0"/>
                <w:sz w:val="16"/>
                <w:szCs w:val="18"/>
              </w:rPr>
              <w:t>-21</w:t>
            </w:r>
          </w:p>
        </w:tc>
        <w:tc>
          <w:tcPr>
            <w:tcW w:w="502" w:type="dxa"/>
            <w:tcBorders>
              <w:top w:val="single" w:sz="4" w:space="0" w:color="auto"/>
              <w:left w:val="nil"/>
              <w:bottom w:val="single" w:sz="4" w:space="0" w:color="auto"/>
              <w:right w:val="nil"/>
            </w:tcBorders>
            <w:shd w:val="clear" w:color="000000" w:fill="FFFFFF"/>
          </w:tcPr>
          <w:p w:rsidR="002434B2" w:rsidRDefault="002434B2" w:rsidP="0036710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gen-22</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Beni alimentari (incluse bevande alcoliche) e tabacchi, di cui: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0,9</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0,6</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EC2E9D"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1,1</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2,5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3,4</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0,7</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0,5</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2,5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3,2</w:t>
            </w:r>
          </w:p>
        </w:tc>
      </w:tr>
      <w:tr w:rsidR="008435F4" w:rsidRPr="005539E4" w:rsidTr="008435F4">
        <w:trPr>
          <w:trHeight w:val="255"/>
          <w:jc w:val="center"/>
        </w:trPr>
        <w:tc>
          <w:tcPr>
            <w:tcW w:w="3261" w:type="dxa"/>
            <w:vMerge w:val="restart"/>
            <w:tcBorders>
              <w:top w:val="nil"/>
              <w:left w:val="nil"/>
              <w:bottom w:val="nil"/>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 xml:space="preserve">    Alimentari lavorati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0,8</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0,6</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1,7</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2,1</w:t>
            </w:r>
          </w:p>
        </w:tc>
      </w:tr>
      <w:tr w:rsidR="008435F4" w:rsidRPr="005539E4" w:rsidTr="008435F4">
        <w:trPr>
          <w:trHeight w:val="255"/>
          <w:jc w:val="center"/>
        </w:trPr>
        <w:tc>
          <w:tcPr>
            <w:tcW w:w="3261" w:type="dxa"/>
            <w:vMerge/>
            <w:tcBorders>
              <w:top w:val="nil"/>
              <w:left w:val="nil"/>
              <w:bottom w:val="nil"/>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0,6</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0,4</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1,7</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1,9</w:t>
            </w:r>
          </w:p>
        </w:tc>
      </w:tr>
      <w:tr w:rsidR="008435F4" w:rsidRPr="005539E4" w:rsidTr="008435F4">
        <w:trPr>
          <w:trHeight w:val="127"/>
          <w:jc w:val="center"/>
        </w:trPr>
        <w:tc>
          <w:tcPr>
            <w:tcW w:w="3261" w:type="dxa"/>
            <w:vMerge w:val="restart"/>
            <w:tcBorders>
              <w:top w:val="single" w:sz="4" w:space="0" w:color="auto"/>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 xml:space="preserve">    Alimentari non lavorati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1,2</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0,6</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-0,4</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1,1</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3,9</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6,1</w:t>
            </w:r>
          </w:p>
        </w:tc>
      </w:tr>
      <w:tr w:rsidR="008435F4" w:rsidRPr="005539E4" w:rsidTr="008435F4">
        <w:trPr>
          <w:trHeight w:val="255"/>
          <w:jc w:val="center"/>
        </w:trPr>
        <w:tc>
          <w:tcPr>
            <w:tcW w:w="3261" w:type="dxa"/>
            <w:vMerge/>
            <w:tcBorders>
              <w:top w:val="single" w:sz="4" w:space="0" w:color="auto"/>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1,1</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0,6</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-0,4</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1,1</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4,0</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6,1</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Energia</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-5,6</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-3,2</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9,5</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14,1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14,4</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17,1</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20,0</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20,5</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23,4</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31,2</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29,6</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39,0</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-5,1</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-3,2</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9,8</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14,1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14,4</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18,9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20,0</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20,5</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25,3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31,2</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29,6</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39,1</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Beni industriali non energetici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2,2</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3,0</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0,0</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-2,9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2,2</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1,7</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1,1</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1,1</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2,7</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2,8</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-2,9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1,9</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1,6</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1,1</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0,3</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Servizi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0,6</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1,0</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0,7</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1,7</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1,8</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1,9</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0,7</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1,0</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0,4</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0,7</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1,7</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1,8</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2,0</w:t>
            </w:r>
          </w:p>
        </w:tc>
      </w:tr>
      <w:tr w:rsidR="008435F4" w:rsidRPr="00FE56FF" w:rsidTr="008435F4">
        <w:trPr>
          <w:trHeight w:val="255"/>
          <w:jc w:val="center"/>
        </w:trPr>
        <w:tc>
          <w:tcPr>
            <w:tcW w:w="3261" w:type="dxa"/>
            <w:vMerge w:val="restart"/>
            <w:tcBorders>
              <w:top w:val="nil"/>
              <w:left w:val="nil"/>
              <w:bottom w:val="single" w:sz="4" w:space="0" w:color="000000"/>
              <w:right w:val="nil"/>
            </w:tcBorders>
            <w:shd w:val="clear" w:color="000000" w:fill="FF0000"/>
            <w:vAlign w:val="center"/>
            <w:hideMark/>
          </w:tcPr>
          <w:p w:rsidR="008435F4" w:rsidRPr="00AA6646" w:rsidRDefault="008435F4" w:rsidP="008435F4">
            <w:pPr>
              <w:widowControl/>
              <w:overflowPunct/>
              <w:autoSpaceDE/>
              <w:autoSpaceDN/>
              <w:adjustRightInd/>
              <w:spacing w:before="0" w:after="0"/>
              <w:rPr>
                <w:rFonts w:ascii="Arial Narrow" w:hAnsi="Arial Narrow"/>
                <w:b/>
                <w:bCs/>
                <w:color w:val="FFFFFF"/>
                <w:kern w:val="0"/>
                <w:sz w:val="18"/>
                <w:szCs w:val="18"/>
              </w:rPr>
            </w:pPr>
            <w:r w:rsidRPr="00AA6646">
              <w:rPr>
                <w:rFonts w:ascii="Arial Narrow" w:hAnsi="Arial Narrow"/>
                <w:b/>
                <w:bCs/>
                <w:color w:val="FFFFFF"/>
                <w:kern w:val="0"/>
                <w:sz w:val="18"/>
                <w:szCs w:val="18"/>
              </w:rPr>
              <w:t>Indice generale</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0,5</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1,0</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0,6</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1,0</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1,3</w:t>
            </w:r>
          </w:p>
        </w:tc>
        <w:tc>
          <w:tcPr>
            <w:tcW w:w="502" w:type="dxa"/>
            <w:tcBorders>
              <w:top w:val="nil"/>
              <w:left w:val="nil"/>
              <w:bottom w:val="single" w:sz="4" w:space="0" w:color="auto"/>
              <w:right w:val="nil"/>
            </w:tcBorders>
            <w:shd w:val="clear" w:color="000000" w:fill="FFFFFF"/>
            <w:vAlign w:val="center"/>
          </w:tcPr>
          <w:p w:rsidR="008435F4" w:rsidRPr="00EC2E9D" w:rsidRDefault="008435F4" w:rsidP="008435F4">
            <w:pPr>
              <w:widowControl/>
              <w:overflowPunct/>
              <w:autoSpaceDE/>
              <w:autoSpaceDN/>
              <w:adjustRightInd/>
              <w:spacing w:before="0" w:after="0"/>
              <w:jc w:val="right"/>
              <w:rPr>
                <w:rFonts w:ascii="Arial Narrow" w:hAnsi="Arial Narrow" w:cs="Arial Narrow"/>
                <w:b/>
                <w:color w:val="000000"/>
                <w:kern w:val="0"/>
                <w:sz w:val="18"/>
                <w:szCs w:val="18"/>
              </w:rPr>
            </w:pPr>
            <w:r w:rsidRPr="00EC2E9D">
              <w:rPr>
                <w:rFonts w:ascii="Arial Narrow" w:hAnsi="Arial Narrow" w:cs="Arial Narrow"/>
                <w:b/>
                <w:color w:val="000000"/>
                <w:kern w:val="0"/>
                <w:sz w:val="18"/>
                <w:szCs w:val="18"/>
              </w:rPr>
              <w:t>1,3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b/>
                <w:color w:val="000000"/>
                <w:sz w:val="18"/>
                <w:szCs w:val="18"/>
              </w:rPr>
            </w:pPr>
            <w:r w:rsidRPr="00033865">
              <w:rPr>
                <w:rFonts w:ascii="Arial Narrow" w:hAnsi="Arial Narrow"/>
                <w:b/>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b/>
                <w:sz w:val="18"/>
                <w:szCs w:val="18"/>
              </w:rPr>
            </w:pPr>
            <w:r w:rsidRPr="0006075A">
              <w:rPr>
                <w:rFonts w:ascii="Arial Narrow" w:hAnsi="Arial Narrow"/>
                <w:b/>
                <w:sz w:val="18"/>
                <w:szCs w:val="18"/>
              </w:rPr>
              <w:t>2,6</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b/>
                <w:color w:val="000000"/>
                <w:sz w:val="18"/>
                <w:szCs w:val="18"/>
              </w:rPr>
            </w:pPr>
            <w:r w:rsidRPr="00BC03CF">
              <w:rPr>
                <w:rFonts w:ascii="Arial Narrow" w:hAnsi="Arial Narrow"/>
                <w:b/>
                <w:color w:val="000000"/>
                <w:sz w:val="18"/>
                <w:szCs w:val="18"/>
              </w:rPr>
              <w:t>3,0</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b/>
                <w:color w:val="000000"/>
                <w:sz w:val="18"/>
                <w:szCs w:val="18"/>
              </w:rPr>
            </w:pPr>
            <w:r w:rsidRPr="00B0590E">
              <w:rPr>
                <w:rFonts w:ascii="Arial Narrow" w:hAnsi="Arial Narrow"/>
                <w:b/>
                <w:color w:val="000000"/>
                <w:sz w:val="18"/>
                <w:szCs w:val="18"/>
              </w:rPr>
              <w:t>3,1</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b/>
                <w:color w:val="000000"/>
                <w:sz w:val="18"/>
                <w:szCs w:val="18"/>
              </w:rPr>
            </w:pPr>
            <w:r w:rsidRPr="00113EC4">
              <w:rPr>
                <w:rFonts w:ascii="Arial Narrow" w:hAnsi="Arial Narrow"/>
                <w:b/>
                <w:color w:val="000000"/>
                <w:sz w:val="18"/>
                <w:szCs w:val="18"/>
              </w:rPr>
              <w:t>4,0</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b/>
                <w:color w:val="000000"/>
                <w:sz w:val="18"/>
                <w:szCs w:val="18"/>
              </w:rPr>
            </w:pPr>
            <w:r w:rsidRPr="00FE56FF">
              <w:rPr>
                <w:rFonts w:ascii="Arial Narrow" w:hAnsi="Arial Narrow"/>
                <w:b/>
                <w:color w:val="000000"/>
                <w:sz w:val="18"/>
                <w:szCs w:val="18"/>
              </w:rPr>
              <w:t>4,2</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b/>
                <w:color w:val="000000"/>
                <w:sz w:val="18"/>
                <w:szCs w:val="18"/>
              </w:rPr>
            </w:pPr>
            <w:r w:rsidRPr="008435F4">
              <w:rPr>
                <w:rFonts w:ascii="Arial Narrow" w:hAnsi="Arial Narrow"/>
                <w:b/>
                <w:color w:val="000000"/>
                <w:sz w:val="18"/>
                <w:szCs w:val="18"/>
              </w:rPr>
              <w:t>5,3</w:t>
            </w:r>
          </w:p>
        </w:tc>
      </w:tr>
      <w:tr w:rsidR="008435F4" w:rsidRPr="00FE56FF"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b/>
                <w:bCs/>
                <w:color w:val="FFFFFF"/>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0,7</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1,0</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0,6</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1,0</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b/>
                <w:color w:val="000000"/>
                <w:sz w:val="18"/>
                <w:szCs w:val="18"/>
              </w:rPr>
            </w:pPr>
            <w:r w:rsidRPr="00BA6385">
              <w:rPr>
                <w:rFonts w:ascii="Arial Narrow" w:hAnsi="Arial Narrow" w:cs="Arial Narrow"/>
                <w:b/>
                <w:color w:val="000000"/>
                <w:kern w:val="0"/>
                <w:sz w:val="18"/>
                <w:szCs w:val="18"/>
              </w:rPr>
              <w:t>1,2</w:t>
            </w:r>
          </w:p>
        </w:tc>
        <w:tc>
          <w:tcPr>
            <w:tcW w:w="502" w:type="dxa"/>
            <w:tcBorders>
              <w:top w:val="nil"/>
              <w:left w:val="nil"/>
              <w:bottom w:val="single" w:sz="4" w:space="0" w:color="auto"/>
              <w:right w:val="nil"/>
            </w:tcBorders>
            <w:shd w:val="clear" w:color="000000" w:fill="FFFFFF"/>
            <w:vAlign w:val="center"/>
          </w:tcPr>
          <w:p w:rsidR="008435F4" w:rsidRPr="00EC2E9D" w:rsidRDefault="008435F4" w:rsidP="008435F4">
            <w:pPr>
              <w:widowControl/>
              <w:overflowPunct/>
              <w:autoSpaceDE/>
              <w:autoSpaceDN/>
              <w:adjustRightInd/>
              <w:spacing w:before="0" w:after="0"/>
              <w:jc w:val="right"/>
              <w:rPr>
                <w:rFonts w:ascii="Arial Narrow" w:hAnsi="Arial Narrow" w:cs="Arial Narrow"/>
                <w:b/>
                <w:color w:val="000000"/>
                <w:kern w:val="0"/>
                <w:sz w:val="18"/>
                <w:szCs w:val="18"/>
              </w:rPr>
            </w:pPr>
            <w:r w:rsidRPr="00EC2E9D">
              <w:rPr>
                <w:rFonts w:ascii="Arial Narrow" w:hAnsi="Arial Narrow" w:cs="Arial Narrow"/>
                <w:b/>
                <w:color w:val="000000"/>
                <w:kern w:val="0"/>
                <w:sz w:val="18"/>
                <w:szCs w:val="18"/>
              </w:rPr>
              <w:t>1,3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b/>
                <w:color w:val="000000"/>
                <w:sz w:val="18"/>
                <w:szCs w:val="18"/>
              </w:rPr>
            </w:pPr>
            <w:r w:rsidRPr="00033865">
              <w:rPr>
                <w:rFonts w:ascii="Arial Narrow" w:hAnsi="Arial Narrow"/>
                <w:b/>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b/>
                <w:sz w:val="18"/>
                <w:szCs w:val="18"/>
              </w:rPr>
            </w:pPr>
            <w:r w:rsidRPr="0006075A">
              <w:rPr>
                <w:rFonts w:ascii="Arial Narrow" w:hAnsi="Arial Narrow"/>
                <w:b/>
                <w:sz w:val="18"/>
                <w:szCs w:val="18"/>
              </w:rPr>
              <w:t>2,5</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b/>
                <w:color w:val="000000"/>
                <w:sz w:val="18"/>
                <w:szCs w:val="18"/>
              </w:rPr>
            </w:pPr>
            <w:r w:rsidRPr="00BC03CF">
              <w:rPr>
                <w:rFonts w:ascii="Arial Narrow" w:hAnsi="Arial Narrow"/>
                <w:b/>
                <w:color w:val="000000"/>
                <w:sz w:val="18"/>
                <w:szCs w:val="18"/>
              </w:rPr>
              <w:t>2,9</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b/>
                <w:color w:val="000000"/>
                <w:sz w:val="18"/>
                <w:szCs w:val="18"/>
              </w:rPr>
            </w:pPr>
            <w:r w:rsidRPr="00B0590E">
              <w:rPr>
                <w:rFonts w:ascii="Arial Narrow" w:hAnsi="Arial Narrow"/>
                <w:b/>
                <w:color w:val="000000"/>
                <w:sz w:val="18"/>
                <w:szCs w:val="18"/>
              </w:rPr>
              <w:t>3,2</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b/>
                <w:color w:val="000000"/>
                <w:sz w:val="18"/>
                <w:szCs w:val="18"/>
              </w:rPr>
            </w:pPr>
            <w:r w:rsidRPr="00113EC4">
              <w:rPr>
                <w:rFonts w:ascii="Arial Narrow" w:hAnsi="Arial Narrow"/>
                <w:b/>
                <w:color w:val="000000"/>
                <w:sz w:val="18"/>
                <w:szCs w:val="18"/>
              </w:rPr>
              <w:t>3,9</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b/>
                <w:color w:val="000000"/>
                <w:sz w:val="18"/>
                <w:szCs w:val="18"/>
              </w:rPr>
            </w:pPr>
            <w:r w:rsidRPr="00FE56FF">
              <w:rPr>
                <w:rFonts w:ascii="Arial Narrow" w:hAnsi="Arial Narrow"/>
                <w:b/>
                <w:color w:val="000000"/>
                <w:sz w:val="18"/>
                <w:szCs w:val="18"/>
              </w:rPr>
              <w:t>4,2</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b/>
                <w:color w:val="000000"/>
                <w:sz w:val="18"/>
                <w:szCs w:val="18"/>
              </w:rPr>
            </w:pPr>
            <w:r w:rsidRPr="008435F4">
              <w:rPr>
                <w:rFonts w:ascii="Arial Narrow" w:hAnsi="Arial Narrow"/>
                <w:b/>
                <w:color w:val="000000"/>
                <w:sz w:val="18"/>
                <w:szCs w:val="18"/>
              </w:rPr>
              <w:t>5,1</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Indice generale al netto dell’energia e degli alimentari freschi (Componente di fondo)</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1,1</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1,4</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D5104B">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1,8</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1,2</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1,4</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D5104B">
              <w:rPr>
                <w:rFonts w:ascii="Arial Narrow" w:hAnsi="Arial Narrow"/>
                <w:color w:val="000000"/>
                <w:sz w:val="18"/>
                <w:szCs w:val="18"/>
              </w:rPr>
              <w:t>0,2</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1,5</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ind w:right="-70"/>
              <w:rPr>
                <w:rFonts w:ascii="Arial Narrow" w:hAnsi="Arial Narrow"/>
                <w:color w:val="000000"/>
                <w:kern w:val="0"/>
                <w:sz w:val="18"/>
                <w:szCs w:val="18"/>
              </w:rPr>
            </w:pPr>
            <w:r w:rsidRPr="00AA6646">
              <w:rPr>
                <w:rFonts w:ascii="Arial Narrow" w:hAnsi="Arial Narrow"/>
                <w:color w:val="000000"/>
                <w:kern w:val="0"/>
                <w:sz w:val="18"/>
                <w:szCs w:val="18"/>
              </w:rPr>
              <w:t>Indice generale al netto di energia, alimentari (incluse bevande alcoliche) e tabacchi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FF2122">
              <w:rPr>
                <w:rFonts w:ascii="Arial Narrow" w:hAnsi="Arial Narrow"/>
                <w:color w:val="000000"/>
                <w:sz w:val="18"/>
                <w:szCs w:val="18"/>
              </w:rPr>
              <w:t>1,1</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5D0926">
              <w:rPr>
                <w:rFonts w:ascii="Arial Narrow" w:hAnsi="Arial Narrow"/>
                <w:color w:val="000000"/>
                <w:sz w:val="18"/>
                <w:szCs w:val="18"/>
              </w:rPr>
              <w:t>1,5</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FC6A32">
              <w:rPr>
                <w:rFonts w:ascii="Arial Narrow" w:hAnsi="Arial Narrow"/>
                <w:color w:val="000000"/>
                <w:sz w:val="18"/>
                <w:szCs w:val="18"/>
              </w:rPr>
              <w:t>0,7</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D5104B">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1,6</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BD5702">
              <w:rPr>
                <w:rFonts w:ascii="Arial Narrow" w:hAnsi="Arial Narrow" w:cs="Arial Narrow"/>
                <w:color w:val="000000"/>
                <w:kern w:val="0"/>
                <w:sz w:val="18"/>
                <w:szCs w:val="18"/>
              </w:rPr>
              <w:t>1,3</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BD5702">
              <w:rPr>
                <w:rFonts w:ascii="Arial Narrow" w:hAnsi="Arial Narrow" w:cs="Arial Narrow"/>
                <w:color w:val="000000"/>
                <w:kern w:val="0"/>
                <w:sz w:val="18"/>
                <w:szCs w:val="18"/>
              </w:rPr>
              <w:t>1,5</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BD5702">
              <w:rPr>
                <w:rFonts w:ascii="Arial Narrow" w:hAnsi="Arial Narrow" w:cs="Arial Narrow"/>
                <w:color w:val="000000"/>
                <w:kern w:val="0"/>
                <w:sz w:val="18"/>
                <w:szCs w:val="18"/>
              </w:rPr>
              <w:t>0,7</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BD5702">
              <w:rPr>
                <w:rFonts w:ascii="Arial Narrow" w:hAnsi="Arial Narrow" w:cs="Arial Narrow"/>
                <w:color w:val="000000"/>
                <w:kern w:val="0"/>
                <w:sz w:val="18"/>
                <w:szCs w:val="18"/>
              </w:rPr>
              <w:t>0,3</w:t>
            </w:r>
          </w:p>
        </w:tc>
        <w:tc>
          <w:tcPr>
            <w:tcW w:w="502" w:type="dxa"/>
            <w:tcBorders>
              <w:top w:val="nil"/>
              <w:left w:val="nil"/>
              <w:bottom w:val="single" w:sz="4" w:space="0" w:color="auto"/>
              <w:right w:val="nil"/>
            </w:tcBorders>
            <w:shd w:val="clear" w:color="000000" w:fill="FFFFFF"/>
            <w:vAlign w:val="center"/>
          </w:tcPr>
          <w:p w:rsidR="008435F4" w:rsidRPr="00D5104B" w:rsidRDefault="008435F4" w:rsidP="008435F4">
            <w:pPr>
              <w:widowControl/>
              <w:overflowPunct/>
              <w:autoSpaceDE/>
              <w:autoSpaceDN/>
              <w:adjustRightInd/>
              <w:spacing w:before="0" w:after="0"/>
              <w:jc w:val="right"/>
              <w:rPr>
                <w:rFonts w:ascii="Arial Narrow" w:hAnsi="Arial Narrow"/>
                <w:color w:val="000000"/>
                <w:sz w:val="18"/>
                <w:szCs w:val="18"/>
              </w:rPr>
            </w:pPr>
            <w:r w:rsidRPr="00BD5702">
              <w:rPr>
                <w:rFonts w:ascii="Arial Narrow" w:hAnsi="Arial Narrow" w:cs="Arial Narrow"/>
                <w:color w:val="000000"/>
                <w:kern w:val="0"/>
                <w:sz w:val="18"/>
                <w:szCs w:val="18"/>
              </w:rPr>
              <w:t>0,2</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0,3</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0,8</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1,5</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1,3</w:t>
            </w:r>
          </w:p>
        </w:tc>
      </w:tr>
      <w:tr w:rsidR="008435F4" w:rsidRPr="005539E4" w:rsidTr="008435F4">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r w:rsidRPr="00AA6646">
              <w:rPr>
                <w:rFonts w:ascii="Arial Narrow" w:hAnsi="Arial Narrow"/>
                <w:color w:val="000000"/>
                <w:kern w:val="0"/>
                <w:sz w:val="18"/>
                <w:szCs w:val="18"/>
              </w:rPr>
              <w:t>Indice generale esclusi energetici</w:t>
            </w: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P</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1,2</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1,4</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0,6</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0,2</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0,1</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-0,5</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1,0</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1,8</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2,0</w:t>
            </w:r>
          </w:p>
        </w:tc>
      </w:tr>
      <w:tr w:rsidR="008435F4" w:rsidRPr="005539E4" w:rsidTr="008435F4">
        <w:trPr>
          <w:trHeight w:val="255"/>
          <w:jc w:val="center"/>
        </w:trPr>
        <w:tc>
          <w:tcPr>
            <w:tcW w:w="3261" w:type="dxa"/>
            <w:vMerge/>
            <w:tcBorders>
              <w:top w:val="nil"/>
              <w:left w:val="nil"/>
              <w:bottom w:val="single" w:sz="4" w:space="0" w:color="000000"/>
              <w:right w:val="nil"/>
            </w:tcBorders>
            <w:vAlign w:val="center"/>
            <w:hideMark/>
          </w:tcPr>
          <w:p w:rsidR="008435F4" w:rsidRPr="00AA6646" w:rsidRDefault="008435F4" w:rsidP="008435F4">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8435F4" w:rsidRPr="00AA6646" w:rsidRDefault="008435F4" w:rsidP="008435F4">
            <w:pPr>
              <w:widowControl/>
              <w:overflowPunct/>
              <w:autoSpaceDE/>
              <w:autoSpaceDN/>
              <w:adjustRightInd/>
              <w:spacing w:before="0" w:after="0"/>
              <w:jc w:val="center"/>
              <w:rPr>
                <w:rFonts w:ascii="Arial Narrow" w:hAnsi="Arial Narrow"/>
                <w:b/>
                <w:bCs/>
                <w:color w:val="000000"/>
                <w:kern w:val="0"/>
                <w:sz w:val="17"/>
                <w:szCs w:val="17"/>
              </w:rPr>
            </w:pPr>
            <w:r w:rsidRPr="00AA6646">
              <w:rPr>
                <w:rFonts w:ascii="Arial Narrow" w:hAnsi="Arial Narrow"/>
                <w:b/>
                <w:bCs/>
                <w:color w:val="000000"/>
                <w:kern w:val="0"/>
                <w:sz w:val="17"/>
                <w:szCs w:val="17"/>
              </w:rPr>
              <w:t>D</w:t>
            </w:r>
          </w:p>
        </w:tc>
        <w:tc>
          <w:tcPr>
            <w:tcW w:w="490" w:type="dxa"/>
            <w:tcBorders>
              <w:top w:val="nil"/>
              <w:left w:val="nil"/>
              <w:bottom w:val="single" w:sz="4" w:space="0" w:color="auto"/>
              <w:right w:val="nil"/>
            </w:tcBorders>
            <w:shd w:val="clear" w:color="000000" w:fill="FFFFFF"/>
            <w:vAlign w:val="center"/>
          </w:tcPr>
          <w:p w:rsidR="008435F4" w:rsidRPr="0075165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1,3</w:t>
            </w:r>
          </w:p>
        </w:tc>
        <w:tc>
          <w:tcPr>
            <w:tcW w:w="490" w:type="dxa"/>
            <w:tcBorders>
              <w:top w:val="nil"/>
              <w:left w:val="nil"/>
              <w:bottom w:val="single" w:sz="4" w:space="0" w:color="auto"/>
              <w:right w:val="nil"/>
            </w:tcBorders>
            <w:shd w:val="clear" w:color="000000" w:fill="FFFFFF"/>
            <w:vAlign w:val="center"/>
          </w:tcPr>
          <w:p w:rsidR="008435F4" w:rsidRPr="00FF212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1,4</w:t>
            </w:r>
          </w:p>
        </w:tc>
        <w:tc>
          <w:tcPr>
            <w:tcW w:w="503" w:type="dxa"/>
            <w:tcBorders>
              <w:top w:val="nil"/>
              <w:left w:val="nil"/>
              <w:bottom w:val="single" w:sz="4" w:space="0" w:color="auto"/>
              <w:right w:val="nil"/>
            </w:tcBorders>
            <w:shd w:val="clear" w:color="000000" w:fill="FFFFFF"/>
            <w:vAlign w:val="center"/>
          </w:tcPr>
          <w:p w:rsidR="008435F4" w:rsidRPr="005D0926"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0,5</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0,1</w:t>
            </w:r>
          </w:p>
        </w:tc>
        <w:tc>
          <w:tcPr>
            <w:tcW w:w="502" w:type="dxa"/>
            <w:tcBorders>
              <w:top w:val="nil"/>
              <w:left w:val="nil"/>
              <w:bottom w:val="single" w:sz="4" w:space="0" w:color="auto"/>
              <w:right w:val="nil"/>
            </w:tcBorders>
            <w:shd w:val="clear" w:color="000000" w:fill="FFFFFF"/>
            <w:vAlign w:val="center"/>
          </w:tcPr>
          <w:p w:rsidR="008435F4" w:rsidRPr="00FC6A32" w:rsidRDefault="008435F4" w:rsidP="008435F4">
            <w:pPr>
              <w:widowControl/>
              <w:overflowPunct/>
              <w:autoSpaceDE/>
              <w:autoSpaceDN/>
              <w:adjustRightInd/>
              <w:spacing w:before="0" w:after="0"/>
              <w:jc w:val="right"/>
              <w:rPr>
                <w:rFonts w:ascii="Arial Narrow" w:hAnsi="Arial Narrow"/>
                <w:color w:val="000000"/>
                <w:sz w:val="18"/>
                <w:szCs w:val="18"/>
              </w:rPr>
            </w:pPr>
            <w:r w:rsidRPr="000C7C90">
              <w:rPr>
                <w:rFonts w:ascii="Arial Narrow" w:hAnsi="Arial Narrow" w:cs="Arial Narrow"/>
                <w:color w:val="000000"/>
                <w:kern w:val="0"/>
                <w:sz w:val="18"/>
                <w:szCs w:val="18"/>
              </w:rPr>
              <w:t>0,0</w:t>
            </w:r>
          </w:p>
        </w:tc>
        <w:tc>
          <w:tcPr>
            <w:tcW w:w="502" w:type="dxa"/>
            <w:tcBorders>
              <w:top w:val="nil"/>
              <w:left w:val="nil"/>
              <w:bottom w:val="single" w:sz="4" w:space="0" w:color="auto"/>
              <w:right w:val="nil"/>
            </w:tcBorders>
            <w:shd w:val="clear" w:color="000000" w:fill="FFFFFF"/>
            <w:vAlign w:val="center"/>
          </w:tcPr>
          <w:p w:rsidR="008435F4" w:rsidRDefault="008435F4" w:rsidP="008435F4">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0,1</w:t>
            </w:r>
          </w:p>
        </w:tc>
        <w:tc>
          <w:tcPr>
            <w:tcW w:w="502" w:type="dxa"/>
            <w:tcBorders>
              <w:top w:val="nil"/>
              <w:left w:val="nil"/>
              <w:bottom w:val="single" w:sz="4" w:space="0" w:color="auto"/>
              <w:right w:val="nil"/>
            </w:tcBorders>
            <w:shd w:val="clear" w:color="000000" w:fill="FFFFFF"/>
            <w:vAlign w:val="center"/>
          </w:tcPr>
          <w:p w:rsidR="008435F4" w:rsidRPr="00033865" w:rsidRDefault="008435F4" w:rsidP="008435F4">
            <w:pPr>
              <w:widowControl/>
              <w:overflowPunct/>
              <w:autoSpaceDE/>
              <w:autoSpaceDN/>
              <w:adjustRightInd/>
              <w:spacing w:before="0" w:after="0"/>
              <w:jc w:val="right"/>
              <w:rPr>
                <w:rFonts w:ascii="Arial Narrow" w:hAnsi="Arial Narrow"/>
                <w:color w:val="000000"/>
                <w:sz w:val="18"/>
                <w:szCs w:val="18"/>
              </w:rPr>
            </w:pPr>
            <w:r w:rsidRPr="00033865">
              <w:rPr>
                <w:rFonts w:ascii="Arial Narrow" w:hAnsi="Arial Narrow"/>
                <w:color w:val="000000"/>
                <w:sz w:val="18"/>
                <w:szCs w:val="18"/>
              </w:rPr>
              <w:t>-0,6</w:t>
            </w:r>
          </w:p>
        </w:tc>
        <w:tc>
          <w:tcPr>
            <w:tcW w:w="502" w:type="dxa"/>
            <w:tcBorders>
              <w:top w:val="nil"/>
              <w:left w:val="nil"/>
              <w:bottom w:val="single" w:sz="4" w:space="0" w:color="auto"/>
              <w:right w:val="nil"/>
            </w:tcBorders>
            <w:shd w:val="clear" w:color="000000" w:fill="FFFFFF"/>
            <w:vAlign w:val="center"/>
          </w:tcPr>
          <w:p w:rsidR="008435F4" w:rsidRPr="0006075A" w:rsidRDefault="008435F4" w:rsidP="008435F4">
            <w:pPr>
              <w:widowControl/>
              <w:overflowPunct/>
              <w:autoSpaceDE/>
              <w:autoSpaceDN/>
              <w:adjustRightInd/>
              <w:spacing w:before="0" w:after="0"/>
              <w:jc w:val="right"/>
              <w:rPr>
                <w:rFonts w:ascii="Arial Narrow" w:hAnsi="Arial Narrow"/>
                <w:color w:val="000000"/>
                <w:sz w:val="18"/>
                <w:szCs w:val="18"/>
              </w:rPr>
            </w:pPr>
            <w:r w:rsidRPr="0006075A">
              <w:rPr>
                <w:rFonts w:ascii="Arial Narrow" w:hAnsi="Arial Narrow"/>
                <w:color w:val="000000"/>
                <w:sz w:val="18"/>
                <w:szCs w:val="18"/>
              </w:rPr>
              <w:t>0,9</w:t>
            </w:r>
          </w:p>
        </w:tc>
        <w:tc>
          <w:tcPr>
            <w:tcW w:w="502" w:type="dxa"/>
            <w:tcBorders>
              <w:top w:val="nil"/>
              <w:left w:val="nil"/>
              <w:bottom w:val="single" w:sz="4" w:space="0" w:color="auto"/>
              <w:right w:val="nil"/>
            </w:tcBorders>
            <w:shd w:val="clear" w:color="000000" w:fill="FFFFFF"/>
            <w:vAlign w:val="center"/>
          </w:tcPr>
          <w:p w:rsidR="008435F4" w:rsidRPr="00BC03CF" w:rsidRDefault="008435F4" w:rsidP="008435F4">
            <w:pPr>
              <w:widowControl/>
              <w:overflowPunct/>
              <w:autoSpaceDE/>
              <w:autoSpaceDN/>
              <w:adjustRightInd/>
              <w:spacing w:before="0" w:after="0"/>
              <w:jc w:val="right"/>
              <w:rPr>
                <w:rFonts w:ascii="Arial Narrow" w:hAnsi="Arial Narrow"/>
                <w:color w:val="000000"/>
                <w:sz w:val="18"/>
                <w:szCs w:val="18"/>
              </w:rPr>
            </w:pPr>
            <w:r w:rsidRPr="00BC03CF">
              <w:rPr>
                <w:rFonts w:ascii="Arial Narrow" w:hAnsi="Arial Narrow"/>
                <w:color w:val="000000"/>
                <w:sz w:val="18"/>
                <w:szCs w:val="18"/>
              </w:rPr>
              <w:t>1,4</w:t>
            </w:r>
          </w:p>
        </w:tc>
        <w:tc>
          <w:tcPr>
            <w:tcW w:w="502" w:type="dxa"/>
            <w:tcBorders>
              <w:top w:val="nil"/>
              <w:left w:val="nil"/>
              <w:bottom w:val="single" w:sz="4" w:space="0" w:color="auto"/>
              <w:right w:val="nil"/>
            </w:tcBorders>
            <w:shd w:val="clear" w:color="000000" w:fill="FFFFFF"/>
            <w:vAlign w:val="center"/>
          </w:tcPr>
          <w:p w:rsidR="008435F4" w:rsidRPr="00B0590E" w:rsidRDefault="008435F4" w:rsidP="008435F4">
            <w:pPr>
              <w:widowControl/>
              <w:overflowPunct/>
              <w:autoSpaceDE/>
              <w:autoSpaceDN/>
              <w:adjustRightInd/>
              <w:spacing w:before="0" w:after="0"/>
              <w:jc w:val="right"/>
              <w:rPr>
                <w:rFonts w:ascii="Arial Narrow" w:hAnsi="Arial Narrow"/>
                <w:color w:val="000000"/>
                <w:sz w:val="18"/>
                <w:szCs w:val="18"/>
              </w:rPr>
            </w:pPr>
            <w:r w:rsidRPr="00B0590E">
              <w:rPr>
                <w:rFonts w:ascii="Arial Narrow" w:hAnsi="Arial Narrow"/>
                <w:color w:val="000000"/>
                <w:sz w:val="18"/>
                <w:szCs w:val="18"/>
              </w:rPr>
              <w:t>1,2</w:t>
            </w:r>
          </w:p>
        </w:tc>
        <w:tc>
          <w:tcPr>
            <w:tcW w:w="502" w:type="dxa"/>
            <w:tcBorders>
              <w:top w:val="nil"/>
              <w:left w:val="nil"/>
              <w:bottom w:val="single" w:sz="4" w:space="0" w:color="auto"/>
              <w:right w:val="nil"/>
            </w:tcBorders>
            <w:shd w:val="clear" w:color="000000" w:fill="FFFFFF"/>
            <w:vAlign w:val="center"/>
          </w:tcPr>
          <w:p w:rsidR="008435F4" w:rsidRPr="00113EC4" w:rsidRDefault="008435F4" w:rsidP="008435F4">
            <w:pPr>
              <w:widowControl/>
              <w:overflowPunct/>
              <w:autoSpaceDE/>
              <w:autoSpaceDN/>
              <w:adjustRightInd/>
              <w:spacing w:before="0" w:after="0"/>
              <w:jc w:val="right"/>
              <w:rPr>
                <w:rFonts w:ascii="Arial Narrow" w:hAnsi="Arial Narrow"/>
                <w:color w:val="000000"/>
                <w:sz w:val="18"/>
                <w:szCs w:val="18"/>
              </w:rPr>
            </w:pPr>
            <w:r w:rsidRPr="00113EC4">
              <w:rPr>
                <w:rFonts w:ascii="Arial Narrow" w:hAnsi="Arial Narrow"/>
                <w:color w:val="000000"/>
                <w:sz w:val="18"/>
                <w:szCs w:val="18"/>
              </w:rPr>
              <w:t>1,3</w:t>
            </w:r>
          </w:p>
        </w:tc>
        <w:tc>
          <w:tcPr>
            <w:tcW w:w="502" w:type="dxa"/>
            <w:tcBorders>
              <w:top w:val="nil"/>
              <w:left w:val="nil"/>
              <w:bottom w:val="single" w:sz="4" w:space="0" w:color="auto"/>
              <w:right w:val="nil"/>
            </w:tcBorders>
            <w:shd w:val="clear" w:color="000000" w:fill="FFFFFF"/>
            <w:vAlign w:val="center"/>
          </w:tcPr>
          <w:p w:rsidR="008435F4" w:rsidRPr="00FE56FF" w:rsidRDefault="008435F4" w:rsidP="008435F4">
            <w:pPr>
              <w:widowControl/>
              <w:overflowPunct/>
              <w:autoSpaceDE/>
              <w:autoSpaceDN/>
              <w:adjustRightInd/>
              <w:spacing w:before="0" w:after="0"/>
              <w:jc w:val="right"/>
              <w:rPr>
                <w:rFonts w:ascii="Arial Narrow" w:hAnsi="Arial Narrow"/>
                <w:color w:val="000000"/>
                <w:sz w:val="18"/>
                <w:szCs w:val="18"/>
              </w:rPr>
            </w:pPr>
            <w:r w:rsidRPr="00FE56FF">
              <w:rPr>
                <w:rFonts w:ascii="Arial Narrow" w:hAnsi="Arial Narrow"/>
                <w:color w:val="000000"/>
                <w:sz w:val="18"/>
                <w:szCs w:val="18"/>
              </w:rPr>
              <w:t>1,8</w:t>
            </w:r>
          </w:p>
        </w:tc>
        <w:tc>
          <w:tcPr>
            <w:tcW w:w="502" w:type="dxa"/>
            <w:tcBorders>
              <w:top w:val="nil"/>
              <w:left w:val="nil"/>
              <w:bottom w:val="single" w:sz="4" w:space="0" w:color="auto"/>
              <w:right w:val="nil"/>
            </w:tcBorders>
            <w:shd w:val="clear" w:color="000000" w:fill="FFFFFF"/>
            <w:vAlign w:val="center"/>
          </w:tcPr>
          <w:p w:rsidR="008435F4" w:rsidRPr="008435F4" w:rsidRDefault="008435F4" w:rsidP="008435F4">
            <w:pPr>
              <w:widowControl/>
              <w:overflowPunct/>
              <w:autoSpaceDE/>
              <w:autoSpaceDN/>
              <w:adjustRightInd/>
              <w:spacing w:before="0" w:after="0"/>
              <w:jc w:val="right"/>
              <w:rPr>
                <w:rFonts w:ascii="Arial Narrow" w:hAnsi="Arial Narrow"/>
                <w:color w:val="000000"/>
                <w:sz w:val="18"/>
                <w:szCs w:val="18"/>
              </w:rPr>
            </w:pPr>
            <w:r w:rsidRPr="008435F4">
              <w:rPr>
                <w:rFonts w:ascii="Arial Narrow" w:hAnsi="Arial Narrow"/>
                <w:color w:val="000000"/>
                <w:sz w:val="18"/>
                <w:szCs w:val="18"/>
              </w:rPr>
              <w:t>1,7</w:t>
            </w:r>
          </w:p>
        </w:tc>
      </w:tr>
    </w:tbl>
    <w:p w:rsidR="00367107" w:rsidRPr="004F51BA" w:rsidRDefault="00367107" w:rsidP="00367107">
      <w:pPr>
        <w:spacing w:before="0" w:after="120"/>
        <w:jc w:val="both"/>
        <w:rPr>
          <w:rFonts w:ascii="Arial" w:hAnsi="Arial" w:cs="Arial"/>
        </w:rPr>
      </w:pPr>
    </w:p>
    <w:p w:rsidR="00367107" w:rsidRPr="001E3A96" w:rsidRDefault="00367107" w:rsidP="00367107">
      <w:pPr>
        <w:widowControl/>
        <w:overflowPunct/>
        <w:spacing w:before="0" w:after="120"/>
        <w:jc w:val="both"/>
        <w:rPr>
          <w:rFonts w:ascii="Arial" w:hAnsi="Arial" w:cs="Arial"/>
        </w:rPr>
      </w:pPr>
      <w:r w:rsidRPr="00BE4D42">
        <w:rPr>
          <w:rFonts w:ascii="Arial" w:hAnsi="Arial" w:cs="Arial"/>
        </w:rPr>
        <w:t xml:space="preserve">La revisione media assoluta (RMA) fornisce una misura dell’ampiezza delle revisioni effettuate nell’arco di un determinato periodo. Nello specifico, la RMA è calcolata come media aritmetica semplice delle differenze, considerate in valore assoluto, tra le variazioni tendenziali delle stime provvisorie e quelle delle stime definitive, con riferimento agli ultimi tredici mesi. Nella Figura 1 sono riportati i valori della RMA per l’indice generale e i principali aggregati speciali IPCA nel periodo </w:t>
      </w:r>
      <w:r w:rsidR="002434B2">
        <w:rPr>
          <w:rFonts w:ascii="Arial" w:hAnsi="Arial" w:cs="Arial"/>
        </w:rPr>
        <w:t>gennaio 2021 – gennaio 2022</w:t>
      </w:r>
      <w:r w:rsidRPr="00BE4D42">
        <w:rPr>
          <w:rFonts w:ascii="Arial" w:hAnsi="Arial" w:cs="Arial"/>
        </w:rPr>
        <w:t>. Le RMA più ampie nell’arco di tempo considerato hanno riguardato i tassi di variazione tendenziale d</w:t>
      </w:r>
      <w:r>
        <w:rPr>
          <w:rFonts w:ascii="Arial" w:hAnsi="Arial" w:cs="Arial"/>
        </w:rPr>
        <w:t xml:space="preserve">ei prezzi dell’Energia </w:t>
      </w:r>
      <w:r w:rsidRPr="00BE4D42">
        <w:rPr>
          <w:rFonts w:ascii="Arial" w:hAnsi="Arial" w:cs="Arial"/>
        </w:rPr>
        <w:t>(0,</w:t>
      </w:r>
      <w:r w:rsidR="005E6D16">
        <w:rPr>
          <w:rFonts w:ascii="Arial" w:hAnsi="Arial" w:cs="Arial"/>
        </w:rPr>
        <w:t>354</w:t>
      </w:r>
      <w:r w:rsidRPr="00BE4D42">
        <w:rPr>
          <w:rFonts w:ascii="Arial" w:hAnsi="Arial" w:cs="Arial"/>
        </w:rPr>
        <w:t xml:space="preserve"> punti percentuali</w:t>
      </w:r>
      <w:r>
        <w:rPr>
          <w:rFonts w:ascii="Arial" w:hAnsi="Arial" w:cs="Arial"/>
        </w:rPr>
        <w:t xml:space="preserve">), degli </w:t>
      </w:r>
      <w:r w:rsidRPr="00BE4D42">
        <w:rPr>
          <w:rFonts w:ascii="Arial" w:hAnsi="Arial" w:cs="Arial"/>
        </w:rPr>
        <w:t>Alimentari lavorati (0,</w:t>
      </w:r>
      <w:r w:rsidR="005E6D16">
        <w:rPr>
          <w:rFonts w:ascii="Arial" w:hAnsi="Arial" w:cs="Arial"/>
        </w:rPr>
        <w:t>231</w:t>
      </w:r>
      <w:r w:rsidRPr="00BE4D42">
        <w:rPr>
          <w:rFonts w:ascii="Arial" w:hAnsi="Arial" w:cs="Arial"/>
        </w:rPr>
        <w:t xml:space="preserve"> punti percentuali) e quindi dei Beni alimentari (incluse bevande alcoliche) e tabacchi (0,</w:t>
      </w:r>
      <w:r w:rsidR="005E6D16">
        <w:rPr>
          <w:rFonts w:ascii="Arial" w:hAnsi="Arial" w:cs="Arial"/>
        </w:rPr>
        <w:t>162</w:t>
      </w:r>
      <w:r>
        <w:rPr>
          <w:rFonts w:ascii="Arial" w:hAnsi="Arial" w:cs="Arial"/>
        </w:rPr>
        <w:t xml:space="preserve"> punti percentuali)</w:t>
      </w:r>
      <w:r w:rsidR="00763658">
        <w:rPr>
          <w:rFonts w:ascii="Arial" w:hAnsi="Arial" w:cs="Arial"/>
        </w:rPr>
        <w:t>, e dei Beni industriali non energetici (0,192 punti percentuali)</w:t>
      </w:r>
      <w:r>
        <w:rPr>
          <w:rFonts w:ascii="Arial" w:hAnsi="Arial" w:cs="Arial"/>
        </w:rPr>
        <w:t>.</w:t>
      </w:r>
    </w:p>
    <w:p w:rsidR="00367107" w:rsidRDefault="00367107" w:rsidP="00367107">
      <w:pPr>
        <w:widowControl/>
        <w:overflowPunct/>
        <w:spacing w:before="0" w:after="120"/>
        <w:jc w:val="both"/>
        <w:rPr>
          <w:rFonts w:ascii="Arial" w:hAnsi="Arial" w:cs="Arial"/>
          <w:kern w:val="0"/>
        </w:rPr>
      </w:pPr>
      <w:r w:rsidRPr="001E3A96">
        <w:rPr>
          <w:rFonts w:ascii="Arial" w:hAnsi="Arial" w:cs="Arial"/>
          <w:kern w:val="0"/>
        </w:rPr>
        <w:t xml:space="preserve">Per ulteriori informazioni relative alle revisioni degli indicatori congiunturali, consultare la </w:t>
      </w:r>
      <w:hyperlink r:id="rId37" w:history="1">
        <w:r w:rsidRPr="001E3A96">
          <w:rPr>
            <w:rStyle w:val="Collegamentoipertestuale"/>
            <w:rFonts w:ascii="Arial" w:hAnsi="Arial" w:cs="Arial"/>
            <w:kern w:val="0"/>
          </w:rPr>
          <w:t>sezione dedicata</w:t>
        </w:r>
      </w:hyperlink>
      <w:r w:rsidRPr="001E3A96">
        <w:rPr>
          <w:rFonts w:ascii="Arial" w:hAnsi="Arial" w:cs="Arial"/>
          <w:kern w:val="0"/>
        </w:rPr>
        <w:t>.</w:t>
      </w:r>
    </w:p>
    <w:p w:rsidR="00367107" w:rsidRPr="004F51BA" w:rsidRDefault="00367107" w:rsidP="00367107">
      <w:pPr>
        <w:spacing w:before="0" w:after="120"/>
        <w:jc w:val="both"/>
        <w:rPr>
          <w:rFonts w:ascii="Arial" w:hAnsi="Arial" w:cs="Arial"/>
        </w:rPr>
      </w:pPr>
    </w:p>
    <w:p w:rsidR="00367107" w:rsidRPr="001E3A96" w:rsidRDefault="00367107" w:rsidP="00367107">
      <w:pPr>
        <w:pStyle w:val="001TitoGra"/>
      </w:pPr>
      <w:r w:rsidRPr="001E3A96">
        <w:rPr>
          <w:rStyle w:val="001TitoGraRed"/>
        </w:rPr>
        <w:t>FIGURA 1.</w:t>
      </w:r>
      <w:r w:rsidRPr="001E3A96">
        <w:t xml:space="preserve"> REVISIONE MEDIA ASSOLUTA DELLE STIME PRELIMINARI DEI TASSI TENDENZIALI DEGLI INDICI IPCA</w:t>
      </w:r>
    </w:p>
    <w:p w:rsidR="00367107" w:rsidRPr="00893E11" w:rsidRDefault="002434B2" w:rsidP="00367107">
      <w:pPr>
        <w:spacing w:before="0" w:after="120"/>
        <w:ind w:right="170"/>
        <w:jc w:val="both"/>
        <w:rPr>
          <w:rFonts w:ascii="Arial Narrow" w:hAnsi="Arial Narrow" w:cs="Arial"/>
          <w:color w:val="5F5F5F"/>
        </w:rPr>
      </w:pPr>
      <w:r w:rsidRPr="002434B2">
        <w:rPr>
          <w:rFonts w:ascii="Arial Narrow" w:hAnsi="Arial Narrow" w:cs="Arial"/>
          <w:color w:val="5F5F5F"/>
        </w:rPr>
        <w:t>Gennaio 2021 – gennaio 2022</w:t>
      </w:r>
      <w:r w:rsidR="00367107" w:rsidRPr="001E3A96">
        <w:rPr>
          <w:rFonts w:ascii="Arial Narrow" w:hAnsi="Arial Narrow" w:cs="Arial"/>
          <w:color w:val="5F5F5F"/>
        </w:rPr>
        <w:t>, punti percentuali</w:t>
      </w:r>
    </w:p>
    <w:p w:rsidR="00367107" w:rsidRDefault="005E6D16" w:rsidP="00367107">
      <w:pPr>
        <w:spacing w:before="0" w:after="120"/>
        <w:jc w:val="both"/>
      </w:pPr>
      <w:r>
        <w:rPr>
          <w:noProof/>
        </w:rPr>
        <w:drawing>
          <wp:inline distT="0" distB="0" distL="0" distR="0" wp14:anchorId="5721C980">
            <wp:extent cx="6657340" cy="215836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rsidR="00367107" w:rsidRDefault="00367107" w:rsidP="00367107">
      <w:pPr>
        <w:spacing w:before="0" w:after="120"/>
        <w:jc w:val="both"/>
        <w:rPr>
          <w:rFonts w:ascii="Arial" w:hAnsi="Arial" w:cs="Arial"/>
          <w:b/>
          <w:sz w:val="22"/>
          <w:szCs w:val="22"/>
        </w:rPr>
      </w:pPr>
    </w:p>
    <w:p w:rsidR="009422A5" w:rsidRDefault="009422A5" w:rsidP="00367107">
      <w:pPr>
        <w:spacing w:before="0" w:after="120"/>
        <w:jc w:val="both"/>
        <w:rPr>
          <w:rFonts w:ascii="Arial" w:hAnsi="Arial" w:cs="Arial"/>
          <w:b/>
          <w:sz w:val="22"/>
          <w:szCs w:val="22"/>
        </w:rPr>
      </w:pPr>
    </w:p>
    <w:p w:rsidR="00367107" w:rsidRDefault="00367107" w:rsidP="00367107">
      <w:pPr>
        <w:spacing w:before="0" w:after="120"/>
        <w:jc w:val="both"/>
        <w:rPr>
          <w:rFonts w:ascii="Arial" w:hAnsi="Arial" w:cs="Arial"/>
          <w:b/>
          <w:sz w:val="22"/>
          <w:szCs w:val="22"/>
        </w:rPr>
      </w:pPr>
      <w:r>
        <w:rPr>
          <w:rFonts w:ascii="Arial" w:hAnsi="Arial" w:cs="Arial"/>
          <w:b/>
          <w:sz w:val="22"/>
          <w:szCs w:val="22"/>
        </w:rPr>
        <w:t>L’emergenza sanitaria Covid-19 e la compilazione degli indici dei prezzi al consumo</w:t>
      </w:r>
    </w:p>
    <w:p w:rsidR="00367107" w:rsidRPr="007832D0" w:rsidRDefault="00367107" w:rsidP="00367107">
      <w:pPr>
        <w:pStyle w:val="Default"/>
        <w:spacing w:after="120"/>
        <w:jc w:val="both"/>
        <w:rPr>
          <w:rFonts w:ascii="Arial" w:hAnsi="Arial" w:cs="Arial"/>
          <w:sz w:val="20"/>
          <w:szCs w:val="20"/>
        </w:rPr>
      </w:pPr>
      <w:r>
        <w:rPr>
          <w:rFonts w:ascii="Arial" w:hAnsi="Arial" w:cs="Arial"/>
          <w:sz w:val="20"/>
          <w:szCs w:val="20"/>
        </w:rPr>
        <w:t>L</w:t>
      </w:r>
      <w:r w:rsidRPr="007832D0">
        <w:rPr>
          <w:rFonts w:ascii="Arial" w:hAnsi="Arial" w:cs="Arial"/>
          <w:sz w:val="20"/>
          <w:szCs w:val="20"/>
        </w:rPr>
        <w:t xml:space="preserve">’emergenza sanitaria legata alla diffusione del Covid-19 e le misure varate dal governo per fronteggiare i rischi di ulteriore espansione del contagio hanno determinato, </w:t>
      </w:r>
      <w:r>
        <w:rPr>
          <w:rFonts w:ascii="Arial" w:hAnsi="Arial" w:cs="Arial"/>
          <w:sz w:val="20"/>
          <w:szCs w:val="20"/>
        </w:rPr>
        <w:t>soprattutto nei mesi di</w:t>
      </w:r>
      <w:r w:rsidRPr="007832D0">
        <w:rPr>
          <w:rFonts w:ascii="Arial" w:hAnsi="Arial" w:cs="Arial"/>
          <w:sz w:val="20"/>
          <w:szCs w:val="20"/>
        </w:rPr>
        <w:t xml:space="preserve"> marzo</w:t>
      </w:r>
      <w:r>
        <w:rPr>
          <w:rFonts w:ascii="Arial" w:hAnsi="Arial" w:cs="Arial"/>
          <w:sz w:val="20"/>
          <w:szCs w:val="20"/>
        </w:rPr>
        <w:t xml:space="preserve">, aprile e maggio </w:t>
      </w:r>
      <w:r w:rsidRPr="007832D0">
        <w:rPr>
          <w:rFonts w:ascii="Arial" w:hAnsi="Arial" w:cs="Arial"/>
          <w:sz w:val="20"/>
          <w:szCs w:val="20"/>
        </w:rPr>
        <w:t xml:space="preserve">2020, </w:t>
      </w:r>
      <w:r>
        <w:rPr>
          <w:rFonts w:ascii="Arial" w:hAnsi="Arial" w:cs="Arial"/>
          <w:sz w:val="20"/>
          <w:szCs w:val="20"/>
        </w:rPr>
        <w:t>numerose</w:t>
      </w:r>
      <w:r w:rsidRPr="007832D0">
        <w:rPr>
          <w:rFonts w:ascii="Arial" w:hAnsi="Arial" w:cs="Arial"/>
          <w:sz w:val="20"/>
          <w:szCs w:val="20"/>
        </w:rPr>
        <w:t xml:space="preserve"> criticità per il processo di produzione degli indici dei prezzi al consumo</w:t>
      </w:r>
      <w:r>
        <w:rPr>
          <w:rFonts w:ascii="Arial" w:hAnsi="Arial" w:cs="Arial"/>
          <w:sz w:val="20"/>
          <w:szCs w:val="20"/>
        </w:rPr>
        <w:t xml:space="preserve"> e</w:t>
      </w:r>
      <w:r w:rsidRPr="005B014E">
        <w:rPr>
          <w:rFonts w:ascii="Arial" w:hAnsi="Arial" w:cs="Arial"/>
          <w:sz w:val="20"/>
          <w:szCs w:val="20"/>
        </w:rPr>
        <w:t xml:space="preserve"> in particolare per la fase di raccolta diretta dei dati</w:t>
      </w:r>
      <w:r w:rsidRPr="007832D0">
        <w:rPr>
          <w:rFonts w:ascii="Arial" w:hAnsi="Arial" w:cs="Arial"/>
          <w:sz w:val="20"/>
          <w:szCs w:val="20"/>
        </w:rPr>
        <w:t>.</w:t>
      </w:r>
      <w:r>
        <w:rPr>
          <w:rFonts w:ascii="Arial" w:hAnsi="Arial" w:cs="Arial"/>
          <w:sz w:val="20"/>
          <w:szCs w:val="20"/>
        </w:rPr>
        <w:t xml:space="preserve"> Tra la fine di maggio e il mese di giugno la </w:t>
      </w:r>
      <w:r w:rsidRPr="009E72A7">
        <w:rPr>
          <w:rFonts w:ascii="Arial" w:hAnsi="Arial" w:cs="Arial"/>
          <w:sz w:val="20"/>
          <w:szCs w:val="20"/>
        </w:rPr>
        <w:t xml:space="preserve">progressiva riduzione della gravità dell’emergenza sanitaria e </w:t>
      </w:r>
      <w:r>
        <w:rPr>
          <w:rFonts w:ascii="Arial" w:hAnsi="Arial" w:cs="Arial"/>
          <w:sz w:val="20"/>
          <w:szCs w:val="20"/>
        </w:rPr>
        <w:t>la</w:t>
      </w:r>
      <w:r w:rsidRPr="009E72A7">
        <w:rPr>
          <w:rFonts w:ascii="Arial" w:hAnsi="Arial" w:cs="Arial"/>
          <w:sz w:val="20"/>
          <w:szCs w:val="20"/>
        </w:rPr>
        <w:t xml:space="preserve"> riapertura graduale di buon</w:t>
      </w:r>
      <w:r>
        <w:rPr>
          <w:rFonts w:ascii="Arial" w:hAnsi="Arial" w:cs="Arial"/>
          <w:sz w:val="20"/>
          <w:szCs w:val="20"/>
        </w:rPr>
        <w:t>a</w:t>
      </w:r>
      <w:r w:rsidRPr="009E72A7">
        <w:rPr>
          <w:rFonts w:ascii="Arial" w:hAnsi="Arial" w:cs="Arial"/>
          <w:sz w:val="20"/>
          <w:szCs w:val="20"/>
        </w:rPr>
        <w:t xml:space="preserve"> parte delle attività commerciali di offerta di beni e servizi di consumo</w:t>
      </w:r>
      <w:r>
        <w:rPr>
          <w:rFonts w:ascii="Arial" w:hAnsi="Arial" w:cs="Arial"/>
          <w:sz w:val="20"/>
          <w:szCs w:val="20"/>
        </w:rPr>
        <w:t xml:space="preserve"> hanno limitato le criticità dei mesi precedenti, a partire da una netta diminuzione del numero di mancate rilevazioni che aveva raggiunto il picco nel mese di aprile 2020. Con il DPCM del 3 novembre 2020 sono state reintrodotte limitazioni, differenziate a livello regionale che hanno riproposto, almeno in parte, le criticità del periodo marzo-maggio. Queste limitazioni sono state poi rafforzate (e uniformate su scala nazionale a partire dal 24 dicembre) con il Decreto Legge 18 dicembre 2020 n. 172.</w:t>
      </w:r>
    </w:p>
    <w:p w:rsidR="00367107" w:rsidRDefault="00367107" w:rsidP="00367107">
      <w:pPr>
        <w:pStyle w:val="Default"/>
        <w:spacing w:after="120"/>
        <w:jc w:val="both"/>
        <w:rPr>
          <w:rFonts w:ascii="Arial" w:hAnsi="Arial" w:cs="Arial"/>
          <w:sz w:val="20"/>
          <w:szCs w:val="20"/>
        </w:rPr>
      </w:pPr>
      <w:r>
        <w:rPr>
          <w:rFonts w:ascii="Arial" w:hAnsi="Arial" w:cs="Arial"/>
          <w:sz w:val="20"/>
          <w:szCs w:val="20"/>
        </w:rPr>
        <w:t>In tutti questi mesi di emergenza sanitaria, l’</w:t>
      </w:r>
      <w:r w:rsidRPr="007832D0">
        <w:rPr>
          <w:rFonts w:ascii="Arial" w:hAnsi="Arial" w:cs="Arial"/>
          <w:sz w:val="20"/>
          <w:szCs w:val="20"/>
        </w:rPr>
        <w:t>impianto dell’indagine sui prezzi al consumo, basato sull’utilizzo di una pluralità di canali per l’acquisizione dei dati necessari per il calcolo dell’inflazione, ha consentito di ridurre gli effetti negativi di queste criticità e in particolare del più elevato numero di mancate rilevazioni</w:t>
      </w:r>
      <w:r>
        <w:rPr>
          <w:rFonts w:ascii="Arial" w:hAnsi="Arial" w:cs="Arial"/>
          <w:sz w:val="20"/>
          <w:szCs w:val="20"/>
        </w:rPr>
        <w:t xml:space="preserve"> che ha colpito i mesi di marzo aprile e maggio e in misura più contenuta i mesi da giugno a dicembre</w:t>
      </w:r>
      <w:r w:rsidRPr="007832D0">
        <w:rPr>
          <w:rFonts w:ascii="Arial" w:hAnsi="Arial" w:cs="Arial"/>
          <w:sz w:val="20"/>
          <w:szCs w:val="20"/>
        </w:rPr>
        <w:t>.</w:t>
      </w:r>
    </w:p>
    <w:p w:rsidR="00367107" w:rsidRDefault="00367107" w:rsidP="00367107">
      <w:pPr>
        <w:pStyle w:val="Default"/>
        <w:spacing w:after="120"/>
        <w:jc w:val="both"/>
        <w:rPr>
          <w:rFonts w:ascii="Arial" w:hAnsi="Arial" w:cs="Arial"/>
          <w:sz w:val="20"/>
          <w:szCs w:val="20"/>
        </w:rPr>
      </w:pPr>
      <w:r w:rsidRPr="007832D0">
        <w:rPr>
          <w:rFonts w:ascii="Arial" w:hAnsi="Arial" w:cs="Arial"/>
          <w:sz w:val="20"/>
          <w:szCs w:val="20"/>
        </w:rPr>
        <w:t xml:space="preserve">I problemi più rilevanti hanno riguardato l’attività di </w:t>
      </w:r>
      <w:r>
        <w:rPr>
          <w:rFonts w:ascii="Arial" w:hAnsi="Arial" w:cs="Arial"/>
          <w:sz w:val="20"/>
          <w:szCs w:val="20"/>
        </w:rPr>
        <w:t>raccolta dati</w:t>
      </w:r>
      <w:r w:rsidRPr="007832D0">
        <w:rPr>
          <w:rFonts w:ascii="Arial" w:hAnsi="Arial" w:cs="Arial"/>
          <w:sz w:val="20"/>
          <w:szCs w:val="20"/>
        </w:rPr>
        <w:t xml:space="preserve"> in carico agli Uffici Comunali di Statistica, che ha potuto svolgersi in modo difficoltoso</w:t>
      </w:r>
      <w:r>
        <w:rPr>
          <w:rFonts w:ascii="Arial" w:hAnsi="Arial" w:cs="Arial"/>
          <w:sz w:val="20"/>
          <w:szCs w:val="20"/>
        </w:rPr>
        <w:t>;</w:t>
      </w:r>
      <w:r w:rsidRPr="007832D0">
        <w:rPr>
          <w:rFonts w:ascii="Arial" w:hAnsi="Arial" w:cs="Arial"/>
          <w:sz w:val="20"/>
          <w:szCs w:val="20"/>
        </w:rPr>
        <w:t xml:space="preserve"> in particolare </w:t>
      </w:r>
      <w:r>
        <w:rPr>
          <w:rFonts w:ascii="Arial" w:hAnsi="Arial" w:cs="Arial"/>
          <w:sz w:val="20"/>
          <w:szCs w:val="20"/>
        </w:rPr>
        <w:t>nei mesi in cui è stata sospesa o limitata la rilevazione presso i punti vendita fisici, le attività degli Uffici Comunali di Statistica sono state svolte utilizzando, laddove possibile, anche il canale telefonico e Internet per la raccolta dei dati presso le unità di rilevazione previste dal piano di campionamento locale</w:t>
      </w:r>
      <w:r w:rsidRPr="007832D0">
        <w:rPr>
          <w:rFonts w:ascii="Arial" w:hAnsi="Arial" w:cs="Arial"/>
          <w:sz w:val="20"/>
          <w:szCs w:val="20"/>
        </w:rPr>
        <w:t>.</w:t>
      </w:r>
      <w:r>
        <w:rPr>
          <w:rFonts w:ascii="Arial" w:hAnsi="Arial" w:cs="Arial"/>
          <w:sz w:val="20"/>
          <w:szCs w:val="20"/>
        </w:rPr>
        <w:t xml:space="preserve"> </w:t>
      </w:r>
    </w:p>
    <w:p w:rsidR="00367107" w:rsidRPr="007832D0" w:rsidRDefault="00367107" w:rsidP="00367107">
      <w:pPr>
        <w:pStyle w:val="Default"/>
        <w:spacing w:after="120"/>
        <w:jc w:val="both"/>
        <w:rPr>
          <w:rFonts w:ascii="Arial" w:hAnsi="Arial" w:cs="Arial"/>
          <w:sz w:val="20"/>
          <w:szCs w:val="20"/>
        </w:rPr>
      </w:pPr>
      <w:r w:rsidRPr="007832D0">
        <w:rPr>
          <w:rFonts w:ascii="Arial" w:hAnsi="Arial" w:cs="Arial"/>
          <w:sz w:val="20"/>
          <w:szCs w:val="20"/>
        </w:rPr>
        <w:t xml:space="preserve">Per quanto riguarda le altre fonti dell’indagine, ossia la rilevazione centralizzata, </w:t>
      </w:r>
      <w:proofErr w:type="gramStart"/>
      <w:r w:rsidRPr="007832D0">
        <w:rPr>
          <w:rFonts w:ascii="Arial" w:hAnsi="Arial" w:cs="Arial"/>
          <w:sz w:val="20"/>
          <w:szCs w:val="20"/>
        </w:rPr>
        <w:t>gli scanner</w:t>
      </w:r>
      <w:proofErr w:type="gramEnd"/>
      <w:r w:rsidRPr="007832D0">
        <w:rPr>
          <w:rFonts w:ascii="Arial" w:hAnsi="Arial" w:cs="Arial"/>
          <w:sz w:val="20"/>
          <w:szCs w:val="20"/>
        </w:rPr>
        <w:t xml:space="preserve"> data e i grandi fornitori di dati e i dati di fonte amministrativa, non si sono registrati problemi nella disponibilità delle informazioni necessarie per le elaborazioni degli indici dei prezzi al consumo.</w:t>
      </w:r>
    </w:p>
    <w:p w:rsidR="00367107" w:rsidRPr="007832D0" w:rsidRDefault="00367107" w:rsidP="00367107">
      <w:pPr>
        <w:pStyle w:val="Default"/>
        <w:spacing w:after="120"/>
        <w:jc w:val="both"/>
        <w:rPr>
          <w:rFonts w:ascii="Arial" w:hAnsi="Arial" w:cs="Arial"/>
          <w:sz w:val="20"/>
          <w:szCs w:val="20"/>
        </w:rPr>
      </w:pPr>
      <w:r w:rsidRPr="007832D0">
        <w:rPr>
          <w:rFonts w:ascii="Arial" w:hAnsi="Arial" w:cs="Arial"/>
          <w:sz w:val="20"/>
          <w:szCs w:val="20"/>
        </w:rPr>
        <w:t>Questo quadro va integrato</w:t>
      </w:r>
      <w:r>
        <w:rPr>
          <w:rFonts w:ascii="Arial" w:hAnsi="Arial" w:cs="Arial"/>
          <w:sz w:val="20"/>
          <w:szCs w:val="20"/>
        </w:rPr>
        <w:t>, con particolare riferimento alla seconda parte del mese di marzo e ai mesi di aprile e maggio e ai mesi da novembre 2020 (in questi mesi in particolare per le regioni che si sono trovate in fascia rossa e per il territorio nazionale nel suo complesso nell’ultima parte del mese di dicembre),</w:t>
      </w:r>
      <w:r w:rsidRPr="007832D0">
        <w:rPr>
          <w:rFonts w:ascii="Arial" w:hAnsi="Arial" w:cs="Arial"/>
          <w:sz w:val="20"/>
          <w:szCs w:val="20"/>
        </w:rPr>
        <w:t xml:space="preserve"> con i problemi derivanti dall’introduzione di misure restrittive riguardanti lo svolgimento di diverse attività commerciali, che hanno comportato forti limitazioni alla possibilità da parte dei consumatori di </w:t>
      </w:r>
      <w:r>
        <w:rPr>
          <w:rFonts w:ascii="Arial" w:hAnsi="Arial" w:cs="Arial"/>
          <w:sz w:val="20"/>
          <w:szCs w:val="20"/>
        </w:rPr>
        <w:t xml:space="preserve">acquistare beni e </w:t>
      </w:r>
      <w:r w:rsidRPr="007832D0">
        <w:rPr>
          <w:rFonts w:ascii="Arial" w:hAnsi="Arial" w:cs="Arial"/>
          <w:sz w:val="20"/>
          <w:szCs w:val="20"/>
        </w:rPr>
        <w:t xml:space="preserve">fruire di determinate categorie di servizi (in primo luogo trasporti, servizi ricreativi, </w:t>
      </w:r>
      <w:r>
        <w:rPr>
          <w:rFonts w:ascii="Arial" w:hAnsi="Arial" w:cs="Arial"/>
          <w:sz w:val="20"/>
          <w:szCs w:val="20"/>
        </w:rPr>
        <w:t>servizi</w:t>
      </w:r>
      <w:r w:rsidRPr="007832D0">
        <w:rPr>
          <w:rFonts w:ascii="Arial" w:hAnsi="Arial" w:cs="Arial"/>
          <w:sz w:val="20"/>
          <w:szCs w:val="20"/>
        </w:rPr>
        <w:t xml:space="preserve"> di alloggio) e che hanno richiesto e richiedono interventi specifici nella fase di elaborazione dei corrispondenti indici di prezzo.</w:t>
      </w:r>
    </w:p>
    <w:p w:rsidR="00367107" w:rsidRDefault="00367107" w:rsidP="00367107">
      <w:pPr>
        <w:pStyle w:val="Default"/>
        <w:spacing w:after="120"/>
        <w:jc w:val="both"/>
        <w:rPr>
          <w:rFonts w:ascii="Arial" w:hAnsi="Arial" w:cs="Arial"/>
          <w:sz w:val="20"/>
          <w:szCs w:val="20"/>
        </w:rPr>
      </w:pPr>
      <w:r>
        <w:rPr>
          <w:rFonts w:ascii="Arial" w:hAnsi="Arial" w:cs="Arial"/>
          <w:sz w:val="20"/>
          <w:szCs w:val="20"/>
        </w:rPr>
        <w:t>In tutti i mesi trascorsi a partire da marzo 2020, p</w:t>
      </w:r>
      <w:r w:rsidRPr="007832D0">
        <w:rPr>
          <w:rFonts w:ascii="Arial" w:hAnsi="Arial" w:cs="Arial"/>
          <w:sz w:val="20"/>
          <w:szCs w:val="20"/>
        </w:rPr>
        <w:t>er l</w:t>
      </w:r>
      <w:r>
        <w:rPr>
          <w:rFonts w:ascii="Arial" w:hAnsi="Arial" w:cs="Arial"/>
          <w:sz w:val="20"/>
          <w:szCs w:val="20"/>
        </w:rPr>
        <w:t>a</w:t>
      </w:r>
      <w:r w:rsidRPr="007832D0">
        <w:rPr>
          <w:rFonts w:ascii="Arial" w:hAnsi="Arial" w:cs="Arial"/>
          <w:sz w:val="20"/>
          <w:szCs w:val="20"/>
        </w:rPr>
        <w:t xml:space="preserve"> stim</w:t>
      </w:r>
      <w:r>
        <w:rPr>
          <w:rFonts w:ascii="Arial" w:hAnsi="Arial" w:cs="Arial"/>
          <w:sz w:val="20"/>
          <w:szCs w:val="20"/>
        </w:rPr>
        <w:t>a</w:t>
      </w:r>
      <w:r w:rsidRPr="007832D0">
        <w:rPr>
          <w:rFonts w:ascii="Arial" w:hAnsi="Arial" w:cs="Arial"/>
          <w:sz w:val="20"/>
          <w:szCs w:val="20"/>
        </w:rPr>
        <w:t xml:space="preserve"> dell’inflazione si è</w:t>
      </w:r>
      <w:r>
        <w:rPr>
          <w:rFonts w:ascii="Arial" w:hAnsi="Arial" w:cs="Arial"/>
          <w:sz w:val="20"/>
          <w:szCs w:val="20"/>
        </w:rPr>
        <w:t xml:space="preserve"> fatto </w:t>
      </w:r>
      <w:r w:rsidRPr="007832D0">
        <w:rPr>
          <w:rFonts w:ascii="Arial" w:hAnsi="Arial" w:cs="Arial"/>
          <w:sz w:val="20"/>
          <w:szCs w:val="20"/>
        </w:rPr>
        <w:t>ricorso</w:t>
      </w:r>
      <w:r>
        <w:rPr>
          <w:rFonts w:ascii="Arial" w:hAnsi="Arial" w:cs="Arial"/>
          <w:sz w:val="20"/>
          <w:szCs w:val="20"/>
        </w:rPr>
        <w:t xml:space="preserve"> </w:t>
      </w:r>
      <w:r w:rsidRPr="007832D0">
        <w:rPr>
          <w:rFonts w:ascii="Arial" w:hAnsi="Arial" w:cs="Arial"/>
          <w:sz w:val="20"/>
          <w:szCs w:val="20"/>
        </w:rPr>
        <w:t xml:space="preserve">all’imputazione delle </w:t>
      </w:r>
      <w:r w:rsidRPr="009422A5">
        <w:rPr>
          <w:rFonts w:ascii="Arial" w:hAnsi="Arial" w:cs="Arial"/>
          <w:sz w:val="20"/>
          <w:szCs w:val="20"/>
        </w:rPr>
        <w:t xml:space="preserve">mancate </w:t>
      </w:r>
      <w:r w:rsidRPr="00015F2F">
        <w:rPr>
          <w:rFonts w:ascii="Arial" w:hAnsi="Arial" w:cs="Arial"/>
          <w:sz w:val="20"/>
          <w:szCs w:val="20"/>
        </w:rPr>
        <w:t>rilevazioni,</w:t>
      </w:r>
      <w:r w:rsidRPr="009422A5">
        <w:rPr>
          <w:rFonts w:ascii="Arial" w:hAnsi="Arial" w:cs="Arial"/>
          <w:sz w:val="20"/>
          <w:szCs w:val="20"/>
        </w:rPr>
        <w:t xml:space="preserve"> coerentemente</w:t>
      </w:r>
      <w:r w:rsidRPr="007832D0">
        <w:rPr>
          <w:rFonts w:ascii="Arial" w:hAnsi="Arial" w:cs="Arial"/>
          <w:sz w:val="20"/>
          <w:szCs w:val="20"/>
        </w:rPr>
        <w:t xml:space="preserve"> con l’impianto metodologico indicato da Eurostat e condiviso con gli Stati membri</w:t>
      </w:r>
      <w:r>
        <w:rPr>
          <w:rFonts w:ascii="Arial" w:hAnsi="Arial" w:cs="Arial"/>
          <w:sz w:val="20"/>
          <w:szCs w:val="20"/>
        </w:rPr>
        <w:t>.</w:t>
      </w:r>
    </w:p>
    <w:p w:rsidR="00367107" w:rsidRPr="007832D0" w:rsidRDefault="00367107" w:rsidP="00367107">
      <w:pPr>
        <w:pStyle w:val="Default"/>
        <w:spacing w:after="120"/>
        <w:jc w:val="both"/>
        <w:rPr>
          <w:rFonts w:ascii="Arial" w:hAnsi="Arial" w:cs="Arial"/>
          <w:sz w:val="20"/>
          <w:szCs w:val="20"/>
        </w:rPr>
      </w:pPr>
      <w:r w:rsidRPr="007832D0">
        <w:rPr>
          <w:rFonts w:ascii="Arial" w:hAnsi="Arial" w:cs="Arial"/>
          <w:sz w:val="20"/>
          <w:szCs w:val="20"/>
        </w:rPr>
        <w:t>Questo impianto, stabilito per l’IPCA</w:t>
      </w:r>
      <w:r>
        <w:rPr>
          <w:rFonts w:ascii="Arial" w:hAnsi="Arial" w:cs="Arial"/>
          <w:sz w:val="20"/>
          <w:szCs w:val="20"/>
        </w:rPr>
        <w:t>,</w:t>
      </w:r>
      <w:r w:rsidRPr="007832D0">
        <w:rPr>
          <w:rFonts w:ascii="Arial" w:hAnsi="Arial" w:cs="Arial"/>
          <w:sz w:val="20"/>
          <w:szCs w:val="20"/>
        </w:rPr>
        <w:t xml:space="preserve"> che l’Istat ha esteso anche al NIC e al FOI, si basa su tre principi: </w:t>
      </w:r>
    </w:p>
    <w:p w:rsidR="00367107" w:rsidRPr="007832D0" w:rsidRDefault="00367107" w:rsidP="00367107">
      <w:pPr>
        <w:pStyle w:val="Default"/>
        <w:spacing w:after="120"/>
        <w:ind w:left="284"/>
        <w:jc w:val="both"/>
        <w:rPr>
          <w:rFonts w:ascii="Arial" w:hAnsi="Arial" w:cs="Arial"/>
          <w:sz w:val="20"/>
          <w:szCs w:val="20"/>
        </w:rPr>
      </w:pPr>
      <w:r>
        <w:rPr>
          <w:rFonts w:ascii="Arial" w:hAnsi="Arial" w:cs="Arial"/>
          <w:sz w:val="20"/>
          <w:szCs w:val="20"/>
        </w:rPr>
        <w:t>1.</w:t>
      </w:r>
      <w:r>
        <w:rPr>
          <w:rFonts w:ascii="Arial" w:hAnsi="Arial" w:cs="Arial"/>
          <w:sz w:val="20"/>
          <w:szCs w:val="20"/>
        </w:rPr>
        <w:tab/>
        <w:t>s</w:t>
      </w:r>
      <w:r w:rsidRPr="007832D0">
        <w:rPr>
          <w:rFonts w:ascii="Arial" w:hAnsi="Arial" w:cs="Arial"/>
          <w:sz w:val="20"/>
          <w:szCs w:val="20"/>
        </w:rPr>
        <w:t>tabilità dei pesi degli aggregati di prodotto che compongono il paniere</w:t>
      </w:r>
      <w:r>
        <w:rPr>
          <w:rFonts w:ascii="Arial" w:hAnsi="Arial" w:cs="Arial"/>
          <w:sz w:val="20"/>
          <w:szCs w:val="20"/>
        </w:rPr>
        <w:t>,</w:t>
      </w:r>
    </w:p>
    <w:p w:rsidR="00367107" w:rsidRPr="007832D0" w:rsidRDefault="00367107" w:rsidP="00367107">
      <w:pPr>
        <w:pStyle w:val="Default"/>
        <w:spacing w:after="120"/>
        <w:ind w:left="284"/>
        <w:jc w:val="both"/>
        <w:rPr>
          <w:rFonts w:ascii="Arial" w:hAnsi="Arial" w:cs="Arial"/>
          <w:sz w:val="20"/>
          <w:szCs w:val="20"/>
        </w:rPr>
      </w:pPr>
      <w:r>
        <w:rPr>
          <w:rFonts w:ascii="Arial" w:hAnsi="Arial" w:cs="Arial"/>
          <w:sz w:val="20"/>
          <w:szCs w:val="20"/>
        </w:rPr>
        <w:t>2.</w:t>
      </w:r>
      <w:r>
        <w:rPr>
          <w:rFonts w:ascii="Arial" w:hAnsi="Arial" w:cs="Arial"/>
          <w:sz w:val="20"/>
          <w:szCs w:val="20"/>
        </w:rPr>
        <w:tab/>
        <w:t>c</w:t>
      </w:r>
      <w:r w:rsidRPr="007832D0">
        <w:rPr>
          <w:rFonts w:ascii="Arial" w:hAnsi="Arial" w:cs="Arial"/>
          <w:sz w:val="20"/>
          <w:szCs w:val="20"/>
        </w:rPr>
        <w:t>alcolo degli indici per tutti gli aggregati di prodotto e i diversi livelli di disaggregazione previsti dalla ECOICOP</w:t>
      </w:r>
      <w:r>
        <w:rPr>
          <w:rFonts w:ascii="Arial" w:hAnsi="Arial" w:cs="Arial"/>
          <w:sz w:val="20"/>
          <w:szCs w:val="20"/>
        </w:rPr>
        <w:t>,</w:t>
      </w:r>
    </w:p>
    <w:p w:rsidR="00367107" w:rsidRPr="007832D0" w:rsidRDefault="00367107" w:rsidP="00367107">
      <w:pPr>
        <w:pStyle w:val="Default"/>
        <w:spacing w:after="120"/>
        <w:ind w:left="284"/>
        <w:jc w:val="both"/>
        <w:rPr>
          <w:rFonts w:ascii="Arial" w:hAnsi="Arial" w:cs="Arial"/>
          <w:sz w:val="20"/>
          <w:szCs w:val="20"/>
        </w:rPr>
      </w:pPr>
      <w:r w:rsidRPr="007832D0">
        <w:rPr>
          <w:rFonts w:ascii="Arial" w:hAnsi="Arial" w:cs="Arial"/>
          <w:sz w:val="20"/>
          <w:szCs w:val="20"/>
        </w:rPr>
        <w:t>3.</w:t>
      </w:r>
      <w:r w:rsidRPr="007832D0">
        <w:rPr>
          <w:rFonts w:ascii="Arial" w:hAnsi="Arial" w:cs="Arial"/>
          <w:sz w:val="20"/>
          <w:szCs w:val="20"/>
        </w:rPr>
        <w:tab/>
      </w:r>
      <w:r>
        <w:rPr>
          <w:rFonts w:ascii="Arial" w:hAnsi="Arial" w:cs="Arial"/>
          <w:sz w:val="20"/>
          <w:szCs w:val="20"/>
        </w:rPr>
        <w:t>m</w:t>
      </w:r>
      <w:r w:rsidRPr="007832D0">
        <w:rPr>
          <w:rFonts w:ascii="Arial" w:hAnsi="Arial" w:cs="Arial"/>
          <w:sz w:val="20"/>
          <w:szCs w:val="20"/>
        </w:rPr>
        <w:t>inimizzazione del numero di prezzi imputati.</w:t>
      </w:r>
    </w:p>
    <w:p w:rsidR="00473ACF" w:rsidRPr="007832D0" w:rsidRDefault="00473ACF" w:rsidP="00473ACF">
      <w:pPr>
        <w:pStyle w:val="Default"/>
        <w:spacing w:after="120"/>
        <w:jc w:val="both"/>
        <w:rPr>
          <w:rFonts w:ascii="Arial" w:hAnsi="Arial" w:cs="Arial"/>
          <w:sz w:val="20"/>
          <w:szCs w:val="20"/>
        </w:rPr>
      </w:pPr>
      <w:r w:rsidRPr="007832D0">
        <w:rPr>
          <w:rFonts w:ascii="Arial" w:hAnsi="Arial" w:cs="Arial"/>
          <w:sz w:val="20"/>
          <w:szCs w:val="20"/>
        </w:rPr>
        <w:t>Ciò significa che tutti gli indici previsti dalla classificazione ECOICOP fino alle sottoclassi e tutti quelli di ulteriori disaggregazioni</w:t>
      </w:r>
      <w:r>
        <w:rPr>
          <w:rFonts w:ascii="Arial" w:hAnsi="Arial" w:cs="Arial"/>
          <w:sz w:val="20"/>
          <w:szCs w:val="20"/>
        </w:rPr>
        <w:t>,</w:t>
      </w:r>
      <w:r w:rsidRPr="007832D0">
        <w:rPr>
          <w:rFonts w:ascii="Arial" w:hAnsi="Arial" w:cs="Arial"/>
          <w:sz w:val="20"/>
          <w:szCs w:val="20"/>
        </w:rPr>
        <w:t xml:space="preserve"> che contribuisco</w:t>
      </w:r>
      <w:r>
        <w:rPr>
          <w:rFonts w:ascii="Arial" w:hAnsi="Arial" w:cs="Arial"/>
          <w:sz w:val="20"/>
          <w:szCs w:val="20"/>
        </w:rPr>
        <w:t>no</w:t>
      </w:r>
      <w:r w:rsidRPr="007832D0">
        <w:rPr>
          <w:rFonts w:ascii="Arial" w:hAnsi="Arial" w:cs="Arial"/>
          <w:sz w:val="20"/>
          <w:szCs w:val="20"/>
        </w:rPr>
        <w:t xml:space="preserve"> </w:t>
      </w:r>
      <w:r>
        <w:rPr>
          <w:rFonts w:ascii="Arial" w:hAnsi="Arial" w:cs="Arial"/>
          <w:sz w:val="20"/>
          <w:szCs w:val="20"/>
        </w:rPr>
        <w:t>al</w:t>
      </w:r>
      <w:r w:rsidRPr="007832D0">
        <w:rPr>
          <w:rFonts w:ascii="Arial" w:hAnsi="Arial" w:cs="Arial"/>
          <w:sz w:val="20"/>
          <w:szCs w:val="20"/>
        </w:rPr>
        <w:t xml:space="preserve"> calcolo degli indici (gli aggregati di prodotto) </w:t>
      </w:r>
      <w:r>
        <w:rPr>
          <w:rFonts w:ascii="Arial" w:hAnsi="Arial" w:cs="Arial"/>
          <w:sz w:val="20"/>
          <w:szCs w:val="20"/>
        </w:rPr>
        <w:t xml:space="preserve">con un proprio peso, </w:t>
      </w:r>
      <w:r w:rsidRPr="007832D0">
        <w:rPr>
          <w:rFonts w:ascii="Arial" w:hAnsi="Arial" w:cs="Arial"/>
          <w:sz w:val="20"/>
          <w:szCs w:val="20"/>
        </w:rPr>
        <w:t xml:space="preserve">sono stati calcolati, riducendo il più possibile </w:t>
      </w:r>
      <w:r>
        <w:rPr>
          <w:rFonts w:ascii="Arial" w:hAnsi="Arial" w:cs="Arial"/>
          <w:sz w:val="20"/>
          <w:szCs w:val="20"/>
        </w:rPr>
        <w:t>il ricorso a imputazioni. Quest’</w:t>
      </w:r>
      <w:r w:rsidRPr="007832D0">
        <w:rPr>
          <w:rFonts w:ascii="Arial" w:hAnsi="Arial" w:cs="Arial"/>
          <w:sz w:val="20"/>
          <w:szCs w:val="20"/>
        </w:rPr>
        <w:t>ultima indicazione è stata implementata tenendo conto dell</w:t>
      </w:r>
      <w:r>
        <w:rPr>
          <w:rFonts w:ascii="Arial" w:hAnsi="Arial" w:cs="Arial"/>
          <w:sz w:val="20"/>
          <w:szCs w:val="20"/>
        </w:rPr>
        <w:t>’</w:t>
      </w:r>
      <w:r w:rsidRPr="007832D0">
        <w:rPr>
          <w:rFonts w:ascii="Arial" w:hAnsi="Arial" w:cs="Arial"/>
          <w:sz w:val="20"/>
          <w:szCs w:val="20"/>
        </w:rPr>
        <w:t>effettiva disponibilità per le famiglie dei prodotti d</w:t>
      </w:r>
      <w:r>
        <w:rPr>
          <w:rFonts w:ascii="Arial" w:hAnsi="Arial" w:cs="Arial"/>
          <w:sz w:val="20"/>
          <w:szCs w:val="20"/>
        </w:rPr>
        <w:t>el paniere al fine di evitare l’</w:t>
      </w:r>
      <w:r w:rsidRPr="007832D0">
        <w:rPr>
          <w:rFonts w:ascii="Arial" w:hAnsi="Arial" w:cs="Arial"/>
          <w:sz w:val="20"/>
          <w:szCs w:val="20"/>
        </w:rPr>
        <w:t>utilizzo di prezzi</w:t>
      </w:r>
      <w:r>
        <w:rPr>
          <w:rFonts w:ascii="Arial" w:hAnsi="Arial" w:cs="Arial"/>
          <w:sz w:val="20"/>
          <w:szCs w:val="20"/>
        </w:rPr>
        <w:t>,</w:t>
      </w:r>
      <w:r w:rsidRPr="007832D0">
        <w:rPr>
          <w:rFonts w:ascii="Arial" w:hAnsi="Arial" w:cs="Arial"/>
          <w:sz w:val="20"/>
          <w:szCs w:val="20"/>
        </w:rPr>
        <w:t xml:space="preserve"> in particolare di servizi rilevati in anticipo ma che poi non sono stati effettivamente disponibili</w:t>
      </w:r>
      <w:r>
        <w:rPr>
          <w:rFonts w:ascii="Arial" w:hAnsi="Arial" w:cs="Arial"/>
          <w:sz w:val="20"/>
          <w:szCs w:val="20"/>
        </w:rPr>
        <w:t>.</w:t>
      </w:r>
    </w:p>
    <w:p w:rsidR="00367107" w:rsidRPr="007832D0" w:rsidRDefault="00367107" w:rsidP="00367107">
      <w:pPr>
        <w:pStyle w:val="Default"/>
        <w:spacing w:after="120"/>
        <w:jc w:val="both"/>
        <w:rPr>
          <w:rFonts w:ascii="Arial" w:hAnsi="Arial" w:cs="Arial"/>
          <w:sz w:val="20"/>
          <w:szCs w:val="20"/>
        </w:rPr>
      </w:pPr>
      <w:r w:rsidRPr="007832D0">
        <w:rPr>
          <w:rFonts w:ascii="Arial" w:hAnsi="Arial" w:cs="Arial"/>
          <w:sz w:val="20"/>
          <w:szCs w:val="20"/>
        </w:rPr>
        <w:t>La metodologia di imputazione,</w:t>
      </w:r>
      <w:r>
        <w:rPr>
          <w:rFonts w:ascii="Arial" w:hAnsi="Arial" w:cs="Arial"/>
          <w:sz w:val="20"/>
          <w:szCs w:val="20"/>
        </w:rPr>
        <w:t xml:space="preserve"> in parte</w:t>
      </w:r>
      <w:r w:rsidRPr="007832D0">
        <w:rPr>
          <w:rFonts w:ascii="Arial" w:hAnsi="Arial" w:cs="Arial"/>
          <w:sz w:val="20"/>
          <w:szCs w:val="20"/>
        </w:rPr>
        <w:t xml:space="preserve"> già utilizzata correntemente per le mancate rilevazioni e che è stata applicata sia ai casi in cui non è stato possibile rilevare un prezzo sia ai casi nei quali il prodotto non era disponibile all’acquisto, comporta l’applicazione di un’idonea variazione al prezzo del mese precedente</w:t>
      </w:r>
      <w:r>
        <w:rPr>
          <w:rFonts w:ascii="Arial" w:hAnsi="Arial" w:cs="Arial"/>
          <w:sz w:val="20"/>
          <w:szCs w:val="20"/>
        </w:rPr>
        <w:t xml:space="preserve"> o dello stesso mese dello scorso anno</w:t>
      </w:r>
      <w:r w:rsidRPr="007832D0">
        <w:rPr>
          <w:rFonts w:ascii="Arial" w:hAnsi="Arial" w:cs="Arial"/>
          <w:sz w:val="20"/>
          <w:szCs w:val="20"/>
        </w:rPr>
        <w:t xml:space="preserve"> della singola referenza. </w:t>
      </w:r>
    </w:p>
    <w:p w:rsidR="00367107" w:rsidRDefault="00367107" w:rsidP="00367107">
      <w:pPr>
        <w:pStyle w:val="Default"/>
        <w:spacing w:after="120"/>
        <w:jc w:val="both"/>
        <w:rPr>
          <w:rFonts w:ascii="Arial" w:hAnsi="Arial" w:cs="Arial"/>
          <w:sz w:val="20"/>
          <w:szCs w:val="20"/>
        </w:rPr>
      </w:pPr>
      <w:r w:rsidRPr="007832D0">
        <w:rPr>
          <w:rFonts w:ascii="Arial" w:hAnsi="Arial" w:cs="Arial"/>
          <w:sz w:val="20"/>
          <w:szCs w:val="20"/>
        </w:rPr>
        <w:t xml:space="preserve">L’individuazione della variazione più idonea non segue una linea univoca e dipende, caso per caso, da diversi fattori (tra i quali la quota di mancate rilevazioni per il prodotto in questione, la sua posizione nella struttura gerarchica, il suo grado di volatilità mensile </w:t>
      </w:r>
      <w:r>
        <w:rPr>
          <w:rFonts w:ascii="Arial" w:hAnsi="Arial" w:cs="Arial"/>
          <w:sz w:val="20"/>
          <w:szCs w:val="20"/>
        </w:rPr>
        <w:t>e il carattere stagionale della</w:t>
      </w:r>
      <w:r w:rsidRPr="007832D0">
        <w:rPr>
          <w:rFonts w:ascii="Arial" w:hAnsi="Arial" w:cs="Arial"/>
          <w:sz w:val="20"/>
          <w:szCs w:val="20"/>
        </w:rPr>
        <w:t xml:space="preserve"> dinamica dei prezzi</w:t>
      </w:r>
      <w:r>
        <w:rPr>
          <w:rFonts w:ascii="Arial" w:hAnsi="Arial" w:cs="Arial"/>
          <w:sz w:val="20"/>
          <w:szCs w:val="20"/>
        </w:rPr>
        <w:t>)</w:t>
      </w:r>
      <w:r w:rsidRPr="007832D0">
        <w:rPr>
          <w:rFonts w:ascii="Arial" w:hAnsi="Arial" w:cs="Arial"/>
          <w:sz w:val="20"/>
          <w:szCs w:val="20"/>
        </w:rPr>
        <w:t xml:space="preserve">. Tenuto conto di questo quadro sono tre gli approcci che sono stati adottati: </w:t>
      </w:r>
    </w:p>
    <w:p w:rsidR="00367107" w:rsidRDefault="00367107" w:rsidP="009B29AB">
      <w:pPr>
        <w:pStyle w:val="Default"/>
        <w:numPr>
          <w:ilvl w:val="0"/>
          <w:numId w:val="18"/>
        </w:numPr>
        <w:spacing w:after="120"/>
        <w:jc w:val="both"/>
        <w:rPr>
          <w:rFonts w:ascii="Arial" w:hAnsi="Arial" w:cs="Arial"/>
          <w:sz w:val="20"/>
          <w:szCs w:val="20"/>
        </w:rPr>
      </w:pPr>
      <w:r>
        <w:rPr>
          <w:rFonts w:ascii="Arial" w:hAnsi="Arial" w:cs="Arial"/>
          <w:sz w:val="20"/>
          <w:szCs w:val="20"/>
        </w:rPr>
        <w:t>l</w:t>
      </w:r>
      <w:r w:rsidRPr="007832D0">
        <w:rPr>
          <w:rFonts w:ascii="Arial" w:hAnsi="Arial" w:cs="Arial"/>
          <w:sz w:val="20"/>
          <w:szCs w:val="20"/>
        </w:rPr>
        <w:t>’utilizzo della variazione del medesimo aggregato di prodotto registrata in un’altra area geografica o di un aggregato di prodotto prossimo o superiore;</w:t>
      </w:r>
    </w:p>
    <w:p w:rsidR="009B29AB" w:rsidRDefault="009B29AB" w:rsidP="009B29AB">
      <w:pPr>
        <w:pStyle w:val="Default"/>
        <w:spacing w:after="120"/>
        <w:jc w:val="both"/>
        <w:rPr>
          <w:rFonts w:ascii="Arial" w:hAnsi="Arial" w:cs="Arial"/>
          <w:sz w:val="20"/>
          <w:szCs w:val="20"/>
        </w:rPr>
      </w:pPr>
    </w:p>
    <w:p w:rsidR="00367107" w:rsidRDefault="00367107" w:rsidP="00367107">
      <w:pPr>
        <w:pStyle w:val="Default"/>
        <w:numPr>
          <w:ilvl w:val="0"/>
          <w:numId w:val="18"/>
        </w:numPr>
        <w:spacing w:after="120"/>
        <w:ind w:left="567" w:hanging="283"/>
        <w:jc w:val="both"/>
        <w:rPr>
          <w:rFonts w:ascii="Arial" w:hAnsi="Arial" w:cs="Arial"/>
          <w:sz w:val="20"/>
          <w:szCs w:val="20"/>
        </w:rPr>
      </w:pPr>
      <w:r>
        <w:rPr>
          <w:rFonts w:ascii="Arial" w:hAnsi="Arial" w:cs="Arial"/>
          <w:sz w:val="20"/>
          <w:szCs w:val="20"/>
        </w:rPr>
        <w:t>la</w:t>
      </w:r>
      <w:r w:rsidRPr="007832D0">
        <w:rPr>
          <w:rFonts w:ascii="Arial" w:hAnsi="Arial" w:cs="Arial"/>
          <w:sz w:val="20"/>
          <w:szCs w:val="20"/>
        </w:rPr>
        <w:t xml:space="preserve"> ripetizione del prezzo del mese precedente</w:t>
      </w:r>
      <w:r>
        <w:rPr>
          <w:rFonts w:ascii="Arial" w:hAnsi="Arial" w:cs="Arial"/>
          <w:sz w:val="20"/>
          <w:szCs w:val="20"/>
        </w:rPr>
        <w:t>, soprattutto laddove i prodotti</w:t>
      </w:r>
      <w:r w:rsidRPr="007832D0">
        <w:rPr>
          <w:rFonts w:ascii="Arial" w:hAnsi="Arial" w:cs="Arial"/>
          <w:sz w:val="20"/>
          <w:szCs w:val="20"/>
        </w:rPr>
        <w:t xml:space="preserve"> presentano una scarsa variabilità mensile dei prezzi</w:t>
      </w:r>
      <w:r>
        <w:rPr>
          <w:rFonts w:ascii="Arial" w:hAnsi="Arial" w:cs="Arial"/>
          <w:sz w:val="20"/>
          <w:szCs w:val="20"/>
        </w:rPr>
        <w:t>;</w:t>
      </w:r>
      <w:r w:rsidRPr="0067476A">
        <w:rPr>
          <w:rFonts w:ascii="Arial" w:hAnsi="Arial" w:cs="Arial"/>
          <w:sz w:val="20"/>
          <w:szCs w:val="20"/>
        </w:rPr>
        <w:t xml:space="preserve"> </w:t>
      </w:r>
    </w:p>
    <w:p w:rsidR="00367107" w:rsidRDefault="00367107" w:rsidP="00367107">
      <w:pPr>
        <w:pStyle w:val="Default"/>
        <w:numPr>
          <w:ilvl w:val="0"/>
          <w:numId w:val="18"/>
        </w:numPr>
        <w:spacing w:after="120"/>
        <w:ind w:left="567" w:hanging="283"/>
        <w:jc w:val="both"/>
        <w:rPr>
          <w:rFonts w:ascii="Arial" w:hAnsi="Arial" w:cs="Arial"/>
          <w:sz w:val="20"/>
          <w:szCs w:val="20"/>
        </w:rPr>
      </w:pPr>
      <w:r>
        <w:rPr>
          <w:rFonts w:ascii="Arial" w:hAnsi="Arial" w:cs="Arial"/>
          <w:sz w:val="20"/>
          <w:szCs w:val="20"/>
        </w:rPr>
        <w:t>per i prodotti indisponibili alla fruizione da parte delle famiglie e che presentano un chiaro profilo stagionale, l’</w:t>
      </w:r>
      <w:r w:rsidRPr="007832D0">
        <w:rPr>
          <w:rFonts w:ascii="Arial" w:hAnsi="Arial" w:cs="Arial"/>
          <w:sz w:val="20"/>
          <w:szCs w:val="20"/>
        </w:rPr>
        <w:t xml:space="preserve">utilizzo </w:t>
      </w:r>
      <w:r>
        <w:rPr>
          <w:rFonts w:ascii="Arial" w:hAnsi="Arial" w:cs="Arial"/>
          <w:sz w:val="20"/>
          <w:szCs w:val="20"/>
        </w:rPr>
        <w:t>della variazione dell’indice generale calcolata</w:t>
      </w:r>
      <w:r w:rsidRPr="007832D0">
        <w:rPr>
          <w:rFonts w:ascii="Arial" w:hAnsi="Arial" w:cs="Arial"/>
          <w:sz w:val="20"/>
          <w:szCs w:val="20"/>
        </w:rPr>
        <w:t xml:space="preserve"> </w:t>
      </w:r>
      <w:r>
        <w:rPr>
          <w:rFonts w:ascii="Arial" w:hAnsi="Arial" w:cs="Arial"/>
          <w:sz w:val="20"/>
          <w:szCs w:val="20"/>
        </w:rPr>
        <w:t>al netto di questi stessi prodotti.</w:t>
      </w:r>
    </w:p>
    <w:p w:rsidR="00367107" w:rsidRDefault="00367107" w:rsidP="00367107">
      <w:pPr>
        <w:pStyle w:val="Default"/>
        <w:spacing w:after="120"/>
        <w:jc w:val="both"/>
        <w:rPr>
          <w:rFonts w:ascii="Arial" w:hAnsi="Arial" w:cs="Arial"/>
          <w:sz w:val="20"/>
          <w:szCs w:val="20"/>
        </w:rPr>
      </w:pPr>
      <w:r>
        <w:rPr>
          <w:rFonts w:ascii="Arial" w:hAnsi="Arial" w:cs="Arial"/>
          <w:sz w:val="20"/>
          <w:szCs w:val="20"/>
        </w:rPr>
        <w:t>Alla luce</w:t>
      </w:r>
      <w:r w:rsidRPr="007832D0">
        <w:rPr>
          <w:rFonts w:ascii="Arial" w:hAnsi="Arial" w:cs="Arial"/>
          <w:sz w:val="20"/>
          <w:szCs w:val="20"/>
        </w:rPr>
        <w:t xml:space="preserve"> di questo quadro, le scelte operate per imputare le mancate rilevazioni per il calcolo delle stime, considerando le categorie merceologiche dove si è registrato un elevato numero di casi, sono</w:t>
      </w:r>
      <w:r>
        <w:rPr>
          <w:rFonts w:ascii="Arial" w:hAnsi="Arial" w:cs="Arial"/>
          <w:sz w:val="20"/>
          <w:szCs w:val="20"/>
        </w:rPr>
        <w:t xml:space="preserve"> state</w:t>
      </w:r>
      <w:r w:rsidRPr="007832D0">
        <w:rPr>
          <w:rFonts w:ascii="Arial" w:hAnsi="Arial" w:cs="Arial"/>
          <w:sz w:val="20"/>
          <w:szCs w:val="20"/>
        </w:rPr>
        <w:t xml:space="preserve"> le seguenti:</w:t>
      </w:r>
    </w:p>
    <w:p w:rsidR="00367107" w:rsidRDefault="00367107" w:rsidP="0036710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n</w:t>
      </w:r>
      <w:r w:rsidRPr="007832D0">
        <w:rPr>
          <w:rFonts w:ascii="Arial" w:hAnsi="Arial" w:cs="Arial"/>
          <w:sz w:val="20"/>
          <w:szCs w:val="20"/>
        </w:rPr>
        <w:t>el settore dell’abbigliamento</w:t>
      </w:r>
      <w:r>
        <w:rPr>
          <w:rFonts w:ascii="Arial" w:hAnsi="Arial" w:cs="Arial"/>
          <w:sz w:val="20"/>
          <w:szCs w:val="20"/>
        </w:rPr>
        <w:t xml:space="preserve"> e calzature, per i prodotti alimentari freschi per i quali è prevista la rilevazione mensile (e </w:t>
      </w:r>
      <w:r w:rsidRPr="009E07E7">
        <w:rPr>
          <w:rFonts w:ascii="Arial" w:hAnsi="Arial" w:cs="Arial"/>
          <w:sz w:val="20"/>
          <w:szCs w:val="20"/>
        </w:rPr>
        <w:t>per i prodotti alimentari freschi</w:t>
      </w:r>
      <w:r>
        <w:rPr>
          <w:rFonts w:ascii="Arial" w:hAnsi="Arial" w:cs="Arial"/>
          <w:sz w:val="20"/>
          <w:szCs w:val="20"/>
        </w:rPr>
        <w:t xml:space="preserve">, </w:t>
      </w:r>
      <w:r w:rsidRPr="009E07E7">
        <w:rPr>
          <w:rFonts w:ascii="Arial" w:hAnsi="Arial" w:cs="Arial"/>
          <w:sz w:val="20"/>
          <w:szCs w:val="20"/>
        </w:rPr>
        <w:t>per i quali è prevista la rilevazione bimensile</w:t>
      </w:r>
      <w:r>
        <w:rPr>
          <w:rFonts w:ascii="Arial" w:hAnsi="Arial" w:cs="Arial"/>
          <w:sz w:val="20"/>
          <w:szCs w:val="20"/>
        </w:rPr>
        <w:t xml:space="preserve"> e per i quali non era disponibile il prezzo di nessuna delle due occasioni di rilevazione)</w:t>
      </w:r>
      <w:r w:rsidRPr="007832D0">
        <w:rPr>
          <w:rFonts w:ascii="Arial" w:hAnsi="Arial" w:cs="Arial"/>
          <w:sz w:val="20"/>
          <w:szCs w:val="20"/>
        </w:rPr>
        <w:t xml:space="preserve">, le mancate risposte sono state imputate per variazione dei prezzi delle referenze che sono state rilevate </w:t>
      </w:r>
      <w:r>
        <w:rPr>
          <w:rFonts w:ascii="Arial" w:hAnsi="Arial" w:cs="Arial"/>
          <w:sz w:val="20"/>
          <w:szCs w:val="20"/>
        </w:rPr>
        <w:t>per lo stesso prodotto nel capoluogo di provincia, oppure nella regione o a livello nazionale; nello specifico per i prodotti dell’abbigliamento e calzature e per i prodotti alimentari freschi a rilevazione bimensile, s</w:t>
      </w:r>
      <w:r w:rsidRPr="007832D0">
        <w:rPr>
          <w:rFonts w:ascii="Arial" w:hAnsi="Arial" w:cs="Arial"/>
          <w:sz w:val="20"/>
          <w:szCs w:val="20"/>
        </w:rPr>
        <w:t>ono state applicate le consuete procedure per la stima dei prezzi dei prodotti stagionali</w:t>
      </w:r>
      <w:r w:rsidRPr="00DA19B8">
        <w:rPr>
          <w:rFonts w:ascii="Arial" w:hAnsi="Arial" w:cs="Arial"/>
          <w:sz w:val="20"/>
          <w:szCs w:val="20"/>
        </w:rPr>
        <w:t>;</w:t>
      </w:r>
    </w:p>
    <w:p w:rsidR="00367107" w:rsidRDefault="00367107" w:rsidP="0036710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7832D0">
        <w:rPr>
          <w:rFonts w:ascii="Arial" w:hAnsi="Arial" w:cs="Arial"/>
          <w:sz w:val="20"/>
          <w:szCs w:val="20"/>
        </w:rPr>
        <w:t xml:space="preserve">er la stima dei prezzi </w:t>
      </w:r>
      <w:r>
        <w:rPr>
          <w:rFonts w:ascii="Arial" w:hAnsi="Arial" w:cs="Arial"/>
          <w:sz w:val="20"/>
          <w:szCs w:val="20"/>
        </w:rPr>
        <w:t xml:space="preserve">degli alimentari non lavorati a rilevazione mensile, di prodotti ittici, </w:t>
      </w:r>
      <w:r w:rsidRPr="007832D0">
        <w:rPr>
          <w:rFonts w:ascii="Arial" w:hAnsi="Arial" w:cs="Arial"/>
          <w:sz w:val="20"/>
          <w:szCs w:val="20"/>
        </w:rPr>
        <w:t xml:space="preserve">dei farmaci SOP, OTC e degli altri prodotti medicali, le mancate risposte sono state imputate per variazione dei prezzi delle referenze che sono state rilevate </w:t>
      </w:r>
      <w:r>
        <w:rPr>
          <w:rFonts w:ascii="Arial" w:hAnsi="Arial" w:cs="Arial"/>
          <w:sz w:val="20"/>
          <w:szCs w:val="20"/>
        </w:rPr>
        <w:t xml:space="preserve">per lo stesso prodotto nel capoluogo di provincia, oppure nella regione o a livello nazionale; </w:t>
      </w:r>
    </w:p>
    <w:p w:rsidR="002C59AC" w:rsidRPr="00641182" w:rsidRDefault="00C90E80" w:rsidP="002C59AC">
      <w:pPr>
        <w:pStyle w:val="Default"/>
        <w:numPr>
          <w:ilvl w:val="0"/>
          <w:numId w:val="17"/>
        </w:numPr>
        <w:spacing w:after="120"/>
        <w:ind w:left="567" w:hanging="283"/>
        <w:jc w:val="both"/>
        <w:rPr>
          <w:rFonts w:ascii="Arial" w:hAnsi="Arial" w:cs="Arial"/>
          <w:sz w:val="20"/>
          <w:szCs w:val="20"/>
        </w:rPr>
      </w:pPr>
      <w:r w:rsidRPr="00641182">
        <w:rPr>
          <w:rFonts w:ascii="Arial" w:hAnsi="Arial" w:cs="Arial"/>
          <w:sz w:val="20"/>
          <w:szCs w:val="20"/>
        </w:rPr>
        <w:t xml:space="preserve">per i prodotti </w:t>
      </w:r>
      <w:r>
        <w:rPr>
          <w:rFonts w:ascii="Arial" w:hAnsi="Arial" w:cs="Arial"/>
          <w:sz w:val="20"/>
          <w:szCs w:val="20"/>
        </w:rPr>
        <w:t xml:space="preserve">(definiti in base alla categoria) che compongono l’aggregato </w:t>
      </w:r>
      <w:r w:rsidRPr="00641182">
        <w:rPr>
          <w:rFonts w:ascii="Arial" w:hAnsi="Arial" w:cs="Arial"/>
          <w:sz w:val="20"/>
          <w:szCs w:val="20"/>
        </w:rPr>
        <w:t>camera d’albergo</w:t>
      </w:r>
      <w:r>
        <w:rPr>
          <w:rFonts w:ascii="Arial" w:hAnsi="Arial" w:cs="Arial"/>
          <w:sz w:val="20"/>
          <w:szCs w:val="20"/>
        </w:rPr>
        <w:t>, a partire da gennaio 2022,</w:t>
      </w:r>
      <w:r w:rsidRPr="00641182">
        <w:rPr>
          <w:rFonts w:ascii="Arial" w:hAnsi="Arial" w:cs="Arial"/>
          <w:sz w:val="20"/>
          <w:szCs w:val="20"/>
        </w:rPr>
        <w:t xml:space="preserve"> le mancate risposte sono imputate </w:t>
      </w:r>
      <w:r>
        <w:rPr>
          <w:rFonts w:ascii="Arial" w:hAnsi="Arial" w:cs="Arial"/>
          <w:sz w:val="20"/>
          <w:szCs w:val="20"/>
        </w:rPr>
        <w:t xml:space="preserve">utilizzando la </w:t>
      </w:r>
      <w:r w:rsidRPr="00641182">
        <w:rPr>
          <w:rFonts w:ascii="Arial" w:hAnsi="Arial" w:cs="Arial"/>
          <w:sz w:val="20"/>
          <w:szCs w:val="20"/>
        </w:rPr>
        <w:t xml:space="preserve">variazione </w:t>
      </w:r>
      <w:r>
        <w:rPr>
          <w:rFonts w:ascii="Arial" w:hAnsi="Arial" w:cs="Arial"/>
          <w:sz w:val="20"/>
          <w:szCs w:val="20"/>
        </w:rPr>
        <w:t xml:space="preserve">congiunturale </w:t>
      </w:r>
      <w:r w:rsidRPr="00641182">
        <w:rPr>
          <w:rFonts w:ascii="Arial" w:hAnsi="Arial" w:cs="Arial"/>
          <w:sz w:val="20"/>
          <w:szCs w:val="20"/>
        </w:rPr>
        <w:t xml:space="preserve">dei prezzi </w:t>
      </w:r>
      <w:r>
        <w:rPr>
          <w:rFonts w:ascii="Arial" w:hAnsi="Arial" w:cs="Arial"/>
          <w:sz w:val="20"/>
          <w:szCs w:val="20"/>
        </w:rPr>
        <w:t xml:space="preserve">degli alberghi </w:t>
      </w:r>
      <w:r w:rsidRPr="00641182">
        <w:rPr>
          <w:rFonts w:ascii="Arial" w:hAnsi="Arial" w:cs="Arial"/>
          <w:sz w:val="20"/>
          <w:szCs w:val="20"/>
        </w:rPr>
        <w:t>rilevat</w:t>
      </w:r>
      <w:r>
        <w:rPr>
          <w:rFonts w:ascii="Arial" w:hAnsi="Arial" w:cs="Arial"/>
          <w:sz w:val="20"/>
          <w:szCs w:val="20"/>
        </w:rPr>
        <w:t>i</w:t>
      </w:r>
      <w:r w:rsidRPr="00641182">
        <w:rPr>
          <w:rFonts w:ascii="Arial" w:hAnsi="Arial" w:cs="Arial"/>
          <w:sz w:val="20"/>
          <w:szCs w:val="20"/>
        </w:rPr>
        <w:t xml:space="preserve"> nel</w:t>
      </w:r>
      <w:r>
        <w:rPr>
          <w:rFonts w:ascii="Arial" w:hAnsi="Arial" w:cs="Arial"/>
          <w:sz w:val="20"/>
          <w:szCs w:val="20"/>
        </w:rPr>
        <w:t>la</w:t>
      </w:r>
      <w:r w:rsidRPr="00641182">
        <w:rPr>
          <w:rFonts w:ascii="Arial" w:hAnsi="Arial" w:cs="Arial"/>
          <w:sz w:val="20"/>
          <w:szCs w:val="20"/>
        </w:rPr>
        <w:t xml:space="preserve"> provincia per l</w:t>
      </w:r>
      <w:r>
        <w:rPr>
          <w:rFonts w:ascii="Arial" w:hAnsi="Arial" w:cs="Arial"/>
          <w:sz w:val="20"/>
          <w:szCs w:val="20"/>
        </w:rPr>
        <w:t>a stessa categoria di alberghi</w:t>
      </w:r>
      <w:r w:rsidRPr="00641182">
        <w:rPr>
          <w:rFonts w:ascii="Arial" w:hAnsi="Arial" w:cs="Arial"/>
          <w:sz w:val="20"/>
          <w:szCs w:val="20"/>
        </w:rPr>
        <w:t>, oppure nello stesso aggregato o</w:t>
      </w:r>
      <w:r>
        <w:rPr>
          <w:rFonts w:ascii="Arial" w:hAnsi="Arial" w:cs="Arial"/>
          <w:sz w:val="20"/>
          <w:szCs w:val="20"/>
        </w:rPr>
        <w:t xml:space="preserve">, se il numero di osservazioni disponibili nel mese di riferimento non lo consente, la variazione congiunturale osservata nella provincia </w:t>
      </w:r>
      <w:r w:rsidRPr="00641182">
        <w:rPr>
          <w:rFonts w:ascii="Arial" w:hAnsi="Arial" w:cs="Arial"/>
          <w:sz w:val="20"/>
          <w:szCs w:val="20"/>
        </w:rPr>
        <w:t xml:space="preserve">nello stesso mese dell’anno precedente, al fine di preservare </w:t>
      </w:r>
      <w:r w:rsidRPr="008A4EFE">
        <w:rPr>
          <w:rFonts w:ascii="Arial" w:hAnsi="Arial" w:cs="Arial"/>
          <w:sz w:val="20"/>
          <w:szCs w:val="20"/>
        </w:rPr>
        <w:t xml:space="preserve">la dinamica </w:t>
      </w:r>
      <w:r>
        <w:rPr>
          <w:rFonts w:ascii="Arial" w:hAnsi="Arial" w:cs="Arial"/>
          <w:sz w:val="20"/>
          <w:szCs w:val="20"/>
        </w:rPr>
        <w:t xml:space="preserve">stagionale </w:t>
      </w:r>
      <w:r w:rsidRPr="008A4EFE">
        <w:rPr>
          <w:rFonts w:ascii="Arial" w:hAnsi="Arial" w:cs="Arial"/>
          <w:sz w:val="20"/>
          <w:szCs w:val="20"/>
        </w:rPr>
        <w:t xml:space="preserve">di questo </w:t>
      </w:r>
      <w:r>
        <w:rPr>
          <w:rFonts w:ascii="Arial" w:hAnsi="Arial" w:cs="Arial"/>
          <w:sz w:val="20"/>
          <w:szCs w:val="20"/>
        </w:rPr>
        <w:t>aggregato</w:t>
      </w:r>
      <w:r w:rsidR="002C59AC" w:rsidRPr="008A4EFE">
        <w:rPr>
          <w:rFonts w:ascii="Arial" w:hAnsi="Arial" w:cs="Arial"/>
          <w:sz w:val="20"/>
          <w:szCs w:val="20"/>
        </w:rPr>
        <w:t>;</w:t>
      </w:r>
    </w:p>
    <w:p w:rsidR="00367107" w:rsidRPr="007832D0" w:rsidRDefault="00367107" w:rsidP="0036710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7832D0">
        <w:rPr>
          <w:rFonts w:ascii="Arial" w:hAnsi="Arial" w:cs="Arial"/>
          <w:sz w:val="20"/>
          <w:szCs w:val="20"/>
        </w:rPr>
        <w:t xml:space="preserve">er i prezzi dei prodotti di arredamento e dei prodotti per la casa è stata adottata la scelta del </w:t>
      </w:r>
      <w:proofErr w:type="spellStart"/>
      <w:r w:rsidRPr="00A60F98">
        <w:rPr>
          <w:rFonts w:ascii="Arial" w:hAnsi="Arial" w:cs="Arial"/>
          <w:i/>
          <w:sz w:val="20"/>
          <w:szCs w:val="20"/>
        </w:rPr>
        <w:t>carry</w:t>
      </w:r>
      <w:proofErr w:type="spellEnd"/>
      <w:r w:rsidRPr="00A60F98">
        <w:rPr>
          <w:rFonts w:ascii="Arial" w:hAnsi="Arial" w:cs="Arial"/>
          <w:i/>
          <w:sz w:val="20"/>
          <w:szCs w:val="20"/>
        </w:rPr>
        <w:t xml:space="preserve"> </w:t>
      </w:r>
      <w:proofErr w:type="spellStart"/>
      <w:r w:rsidRPr="00A60F98">
        <w:rPr>
          <w:rFonts w:ascii="Arial" w:hAnsi="Arial" w:cs="Arial"/>
          <w:i/>
          <w:sz w:val="20"/>
          <w:szCs w:val="20"/>
        </w:rPr>
        <w:t>forward</w:t>
      </w:r>
      <w:proofErr w:type="spellEnd"/>
      <w:r w:rsidRPr="007832D0">
        <w:rPr>
          <w:rFonts w:ascii="Arial" w:hAnsi="Arial" w:cs="Arial"/>
          <w:sz w:val="20"/>
          <w:szCs w:val="20"/>
        </w:rPr>
        <w:t xml:space="preserve"> (ripetizione del prezzo del mese precedente)</w:t>
      </w:r>
      <w:r>
        <w:rPr>
          <w:rFonts w:ascii="Arial" w:hAnsi="Arial" w:cs="Arial"/>
          <w:sz w:val="20"/>
          <w:szCs w:val="20"/>
        </w:rPr>
        <w:t>,</w:t>
      </w:r>
      <w:r w:rsidRPr="007832D0">
        <w:rPr>
          <w:rFonts w:ascii="Arial" w:hAnsi="Arial" w:cs="Arial"/>
          <w:sz w:val="20"/>
          <w:szCs w:val="20"/>
        </w:rPr>
        <w:t xml:space="preserve"> poiché appare la più corretta tenuto conto della limitata variabilità temporale dei prezzi di questi prodotti;</w:t>
      </w:r>
    </w:p>
    <w:p w:rsidR="00367107" w:rsidRPr="00800DF4" w:rsidRDefault="00367107" w:rsidP="0036710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a</w:t>
      </w:r>
      <w:r w:rsidRPr="007832D0">
        <w:rPr>
          <w:rFonts w:ascii="Arial" w:hAnsi="Arial" w:cs="Arial"/>
          <w:sz w:val="20"/>
          <w:szCs w:val="20"/>
        </w:rPr>
        <w:t xml:space="preserve">nalogamente la scelta del </w:t>
      </w:r>
      <w:proofErr w:type="spellStart"/>
      <w:r w:rsidRPr="00A60F98">
        <w:rPr>
          <w:rFonts w:ascii="Arial" w:hAnsi="Arial" w:cs="Arial"/>
          <w:i/>
          <w:sz w:val="20"/>
          <w:szCs w:val="20"/>
        </w:rPr>
        <w:t>carry</w:t>
      </w:r>
      <w:proofErr w:type="spellEnd"/>
      <w:r w:rsidRPr="00A60F98">
        <w:rPr>
          <w:rFonts w:ascii="Arial" w:hAnsi="Arial" w:cs="Arial"/>
          <w:i/>
          <w:sz w:val="20"/>
          <w:szCs w:val="20"/>
        </w:rPr>
        <w:t xml:space="preserve"> </w:t>
      </w:r>
      <w:proofErr w:type="spellStart"/>
      <w:r w:rsidRPr="00A60F98">
        <w:rPr>
          <w:rFonts w:ascii="Arial" w:hAnsi="Arial" w:cs="Arial"/>
          <w:i/>
          <w:sz w:val="20"/>
          <w:szCs w:val="20"/>
        </w:rPr>
        <w:t>forward</w:t>
      </w:r>
      <w:proofErr w:type="spellEnd"/>
      <w:r w:rsidRPr="007832D0">
        <w:rPr>
          <w:rFonts w:ascii="Arial" w:hAnsi="Arial" w:cs="Arial"/>
          <w:sz w:val="20"/>
          <w:szCs w:val="20"/>
        </w:rPr>
        <w:t xml:space="preserve"> è stata adottata per i prezzi dei servizi di ristorazione e dei servizi culturali e di </w:t>
      </w:r>
      <w:r>
        <w:rPr>
          <w:rFonts w:ascii="Arial" w:hAnsi="Arial" w:cs="Arial"/>
          <w:sz w:val="20"/>
          <w:szCs w:val="20"/>
        </w:rPr>
        <w:t>intrattenimento.</w:t>
      </w:r>
    </w:p>
    <w:p w:rsidR="00367107" w:rsidRDefault="00367107" w:rsidP="00367107">
      <w:pPr>
        <w:pStyle w:val="Default"/>
        <w:spacing w:after="120"/>
        <w:jc w:val="both"/>
        <w:rPr>
          <w:rFonts w:ascii="Arial" w:hAnsi="Arial" w:cs="Arial"/>
          <w:sz w:val="20"/>
          <w:szCs w:val="20"/>
        </w:rPr>
      </w:pPr>
      <w:r>
        <w:rPr>
          <w:rFonts w:ascii="Arial" w:hAnsi="Arial" w:cs="Arial"/>
          <w:sz w:val="20"/>
          <w:szCs w:val="20"/>
        </w:rPr>
        <w:t xml:space="preserve">A partire dal D.L 52 del 22 aprile 2021 (c.d. Decreto riaperture) sono state via via eliminate gran parte delle restrizioni introdotte dal governo nei mesi precedenti, permettendo la riapertura di quasi tutte le attività economiche e la possibilità di riprendere una mobilità sul territorio non dettata da motivazioni di stretta necessità, </w:t>
      </w:r>
      <w:r w:rsidRPr="00B97CF0">
        <w:rPr>
          <w:rFonts w:ascii="Arial" w:hAnsi="Arial" w:cs="Arial"/>
          <w:sz w:val="20"/>
          <w:szCs w:val="20"/>
        </w:rPr>
        <w:t xml:space="preserve">pur rimanendo limitazioni dovute alla necessità </w:t>
      </w:r>
      <w:r>
        <w:rPr>
          <w:rFonts w:ascii="Arial" w:hAnsi="Arial" w:cs="Arial"/>
          <w:sz w:val="20"/>
          <w:szCs w:val="20"/>
        </w:rPr>
        <w:t xml:space="preserve">di </w:t>
      </w:r>
      <w:r w:rsidRPr="00B97CF0">
        <w:rPr>
          <w:rFonts w:ascii="Arial" w:hAnsi="Arial" w:cs="Arial"/>
          <w:sz w:val="20"/>
          <w:szCs w:val="20"/>
        </w:rPr>
        <w:t>rispett</w:t>
      </w:r>
      <w:r>
        <w:rPr>
          <w:rFonts w:ascii="Arial" w:hAnsi="Arial" w:cs="Arial"/>
          <w:sz w:val="20"/>
          <w:szCs w:val="20"/>
        </w:rPr>
        <w:t>are</w:t>
      </w:r>
      <w:r w:rsidRPr="00B97CF0">
        <w:rPr>
          <w:rFonts w:ascii="Arial" w:hAnsi="Arial" w:cs="Arial"/>
          <w:sz w:val="20"/>
          <w:szCs w:val="20"/>
        </w:rPr>
        <w:t xml:space="preserve"> il distanziamento sociale</w:t>
      </w:r>
      <w:r>
        <w:rPr>
          <w:rFonts w:ascii="Arial" w:hAnsi="Arial" w:cs="Arial"/>
          <w:sz w:val="20"/>
          <w:szCs w:val="20"/>
        </w:rPr>
        <w:t xml:space="preserve">. Anche nel mese di gennaio 2022 tutte le attività commerciali hanno ripreso (sebbene con alcune limitazioni nelle capienze per alcuni servizi di intrattenimento, svago e per le manifestazioni sportive) ed è quindi stato possibile, per tutti i prodotti del paniere, utilizzare </w:t>
      </w:r>
      <w:r w:rsidRPr="00B97CF0">
        <w:rPr>
          <w:rFonts w:ascii="Arial" w:hAnsi="Arial" w:cs="Arial"/>
          <w:sz w:val="20"/>
          <w:szCs w:val="20"/>
        </w:rPr>
        <w:t>i prezzi rilevati</w:t>
      </w:r>
      <w:r>
        <w:rPr>
          <w:rFonts w:ascii="Arial" w:hAnsi="Arial" w:cs="Arial"/>
          <w:sz w:val="20"/>
          <w:szCs w:val="20"/>
        </w:rPr>
        <w:t>, inclusi quelli rilevati</w:t>
      </w:r>
      <w:r w:rsidRPr="00B97CF0">
        <w:rPr>
          <w:rFonts w:ascii="Arial" w:hAnsi="Arial" w:cs="Arial"/>
          <w:sz w:val="20"/>
          <w:szCs w:val="20"/>
        </w:rPr>
        <w:t xml:space="preserve"> </w:t>
      </w:r>
      <w:r>
        <w:rPr>
          <w:rFonts w:ascii="Arial" w:hAnsi="Arial" w:cs="Arial"/>
          <w:sz w:val="20"/>
          <w:szCs w:val="20"/>
        </w:rPr>
        <w:t>in anticipo per tutti i prodotti per i quali è prevista questa metodologia di rilevazione</w:t>
      </w:r>
      <w:r w:rsidRPr="00BC1CE8">
        <w:rPr>
          <w:rFonts w:ascii="Arial" w:hAnsi="Arial" w:cs="Arial"/>
          <w:sz w:val="20"/>
          <w:szCs w:val="20"/>
        </w:rPr>
        <w:t>.</w:t>
      </w:r>
      <w:r>
        <w:rPr>
          <w:rFonts w:ascii="Arial" w:hAnsi="Arial" w:cs="Arial"/>
          <w:sz w:val="20"/>
          <w:szCs w:val="20"/>
        </w:rPr>
        <w:t xml:space="preserve"> </w:t>
      </w:r>
    </w:p>
    <w:p w:rsidR="00367107" w:rsidRDefault="00367107" w:rsidP="00367107">
      <w:pPr>
        <w:pStyle w:val="Default"/>
        <w:spacing w:after="120"/>
        <w:jc w:val="both"/>
        <w:rPr>
          <w:rFonts w:ascii="Arial" w:hAnsi="Arial" w:cs="Arial"/>
          <w:sz w:val="20"/>
          <w:szCs w:val="20"/>
        </w:rPr>
      </w:pPr>
      <w:r>
        <w:rPr>
          <w:rFonts w:ascii="Arial" w:hAnsi="Arial" w:cs="Arial"/>
          <w:sz w:val="20"/>
          <w:szCs w:val="20"/>
        </w:rPr>
        <w:t>I</w:t>
      </w:r>
      <w:r w:rsidRPr="008C63D2">
        <w:rPr>
          <w:rFonts w:ascii="Arial" w:hAnsi="Arial" w:cs="Arial"/>
          <w:sz w:val="20"/>
          <w:szCs w:val="20"/>
        </w:rPr>
        <w:t>l complesso di questi interventi ha reso necessario, sulla base delle indicazioni</w:t>
      </w:r>
      <w:r w:rsidRPr="007832D0">
        <w:rPr>
          <w:rFonts w:ascii="Arial" w:hAnsi="Arial" w:cs="Arial"/>
          <w:sz w:val="20"/>
          <w:szCs w:val="20"/>
        </w:rPr>
        <w:t xml:space="preserve"> di Eurostat, segnalare quali degli indici ai diversi livelli di aggregazione ha avuto una quota di imputazioni superiore al 50% </w:t>
      </w:r>
      <w:r>
        <w:rPr>
          <w:rFonts w:ascii="Arial" w:hAnsi="Arial" w:cs="Arial"/>
          <w:sz w:val="20"/>
          <w:szCs w:val="20"/>
        </w:rPr>
        <w:t>(in termini di prezzi mancanti e/o di peso)</w:t>
      </w:r>
      <w:r w:rsidRPr="007832D0">
        <w:rPr>
          <w:rFonts w:ascii="Arial" w:hAnsi="Arial" w:cs="Arial"/>
          <w:sz w:val="20"/>
          <w:szCs w:val="20"/>
        </w:rPr>
        <w:t xml:space="preserve"> </w:t>
      </w:r>
      <w:r>
        <w:rPr>
          <w:rFonts w:ascii="Arial" w:hAnsi="Arial" w:cs="Arial"/>
          <w:sz w:val="20"/>
          <w:szCs w:val="20"/>
        </w:rPr>
        <w:t xml:space="preserve">mediante l’utilizzo del </w:t>
      </w:r>
      <w:proofErr w:type="spellStart"/>
      <w:r>
        <w:rPr>
          <w:rFonts w:ascii="Arial" w:hAnsi="Arial" w:cs="Arial"/>
          <w:sz w:val="20"/>
          <w:szCs w:val="20"/>
        </w:rPr>
        <w:t>flag</w:t>
      </w:r>
      <w:proofErr w:type="spellEnd"/>
      <w:r>
        <w:rPr>
          <w:rFonts w:ascii="Arial" w:hAnsi="Arial" w:cs="Arial"/>
          <w:sz w:val="20"/>
          <w:szCs w:val="20"/>
        </w:rPr>
        <w:t xml:space="preserve"> “i” (dato imputato) sia nelle tabelle del Comunicato stampa, sia su </w:t>
      </w:r>
      <w:proofErr w:type="spellStart"/>
      <w:proofErr w:type="gramStart"/>
      <w:r>
        <w:rPr>
          <w:rFonts w:ascii="Arial" w:hAnsi="Arial" w:cs="Arial"/>
          <w:sz w:val="20"/>
          <w:szCs w:val="20"/>
        </w:rPr>
        <w:t>I.Stat</w:t>
      </w:r>
      <w:proofErr w:type="spellEnd"/>
      <w:proofErr w:type="gramEnd"/>
      <w:r>
        <w:rPr>
          <w:rFonts w:ascii="Arial" w:hAnsi="Arial" w:cs="Arial"/>
          <w:sz w:val="20"/>
          <w:szCs w:val="20"/>
        </w:rPr>
        <w:t xml:space="preserve"> e nelle altre pubblicazioni. Per quanto riguarda gli indici diffusi su Rivaluta, in occasione del rilascio dei dati definitivi, quelli che presentano </w:t>
      </w:r>
      <w:r w:rsidRPr="007832D0">
        <w:rPr>
          <w:rFonts w:ascii="Arial" w:hAnsi="Arial" w:cs="Arial"/>
          <w:sz w:val="20"/>
          <w:szCs w:val="20"/>
        </w:rPr>
        <w:t xml:space="preserve">una quota di imputazioni superiore al 50% </w:t>
      </w:r>
      <w:r>
        <w:rPr>
          <w:rFonts w:ascii="Arial" w:hAnsi="Arial" w:cs="Arial"/>
          <w:sz w:val="20"/>
          <w:szCs w:val="20"/>
        </w:rPr>
        <w:t>(in termini di prezzi mancanti e/o di peso) non sono resi disponibili.</w:t>
      </w:r>
    </w:p>
    <w:p w:rsidR="00367107" w:rsidRDefault="00367107" w:rsidP="00367107">
      <w:pPr>
        <w:pStyle w:val="Default"/>
        <w:spacing w:after="120"/>
        <w:jc w:val="both"/>
        <w:rPr>
          <w:rFonts w:ascii="Arial" w:hAnsi="Arial" w:cs="Arial"/>
          <w:b/>
          <w:sz w:val="18"/>
          <w:szCs w:val="22"/>
        </w:rPr>
      </w:pPr>
    </w:p>
    <w:p w:rsidR="00367107" w:rsidRPr="00833545" w:rsidRDefault="00367107" w:rsidP="00367107">
      <w:pPr>
        <w:spacing w:before="0" w:after="120"/>
        <w:jc w:val="both"/>
        <w:rPr>
          <w:rFonts w:ascii="Arial" w:hAnsi="Arial" w:cs="Arial"/>
          <w:b/>
          <w:sz w:val="22"/>
          <w:szCs w:val="22"/>
        </w:rPr>
      </w:pPr>
      <w:r w:rsidRPr="00833545">
        <w:rPr>
          <w:rFonts w:ascii="Arial" w:hAnsi="Arial" w:cs="Arial"/>
          <w:b/>
          <w:sz w:val="22"/>
          <w:szCs w:val="22"/>
        </w:rPr>
        <w:t>La diffusione: tempestività e banche dati</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La diffusione degli indici dei prezzi al consumo da parte dell’Istat avviene in due momenti temporali successivi secondo una diversa modalità di rilascio dei dati: stima provvisoria e stima definitiva.</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La diffusione della stima provvisoria degli indici NIC (generale, per divisione di spesa, per tipologia di prodotto e per frequenza d’acquisto) e dell’indice IPCA (generale</w:t>
      </w:r>
      <w:r>
        <w:rPr>
          <w:rFonts w:ascii="Arial" w:hAnsi="Arial" w:cs="Arial"/>
          <w:color w:val="000000"/>
          <w:kern w:val="0"/>
        </w:rPr>
        <w:t>, per divisione di spesa e per aggregati speciali</w:t>
      </w:r>
      <w:r w:rsidRPr="00FB43B0">
        <w:rPr>
          <w:rFonts w:ascii="Arial" w:hAnsi="Arial" w:cs="Arial"/>
          <w:color w:val="000000"/>
          <w:kern w:val="0"/>
        </w:rPr>
        <w:t xml:space="preserve">) avviene alla fine del mese di riferimento, mentre la diffusione dei dati definitivi dei tre indici NIC, IPCA e FOI avviene non oltre la metà del mese successivo a quello di riferimento. I tempi di pubblicazione sono stabiliti da un calendario </w:t>
      </w:r>
      <w:hyperlink r:id="rId39" w:history="1">
        <w:r>
          <w:rPr>
            <w:rStyle w:val="Collegamentoipertestuale"/>
            <w:rFonts w:ascii="Arial" w:hAnsi="Arial" w:cs="Arial"/>
            <w:kern w:val="0"/>
          </w:rPr>
          <w:t>https://www.istat.it/it/informazioni-e-servizi/per-i-giornalisti/appuntamenti/calendario-diffusioni-ed-eventi</w:t>
        </w:r>
      </w:hyperlink>
      <w:r w:rsidRPr="00FB43B0">
        <w:rPr>
          <w:rFonts w:ascii="Arial" w:hAnsi="Arial" w:cs="Arial"/>
          <w:color w:val="000000"/>
          <w:kern w:val="0"/>
        </w:rPr>
        <w:t xml:space="preserve"> concordato con Eurostat, nel mese di dicembre di ogni anno, per l’anno successivo e secondo gli standard di diffusione (SDDS – Special Data </w:t>
      </w:r>
      <w:proofErr w:type="spellStart"/>
      <w:r w:rsidRPr="00FB43B0">
        <w:rPr>
          <w:rFonts w:ascii="Arial" w:hAnsi="Arial" w:cs="Arial"/>
          <w:color w:val="000000"/>
          <w:kern w:val="0"/>
        </w:rPr>
        <w:t>Dissemination</w:t>
      </w:r>
      <w:proofErr w:type="spellEnd"/>
      <w:r w:rsidRPr="00FB43B0">
        <w:rPr>
          <w:rFonts w:ascii="Arial" w:hAnsi="Arial" w:cs="Arial"/>
          <w:color w:val="000000"/>
          <w:kern w:val="0"/>
        </w:rPr>
        <w:t xml:space="preserve"> Standard) definiti dal Fondo Monetario Internazionale.</w:t>
      </w:r>
    </w:p>
    <w:p w:rsidR="009B29AB" w:rsidRDefault="009B29AB" w:rsidP="00367107">
      <w:pPr>
        <w:spacing w:before="0" w:after="120"/>
        <w:jc w:val="both"/>
        <w:rPr>
          <w:rFonts w:ascii="Arial" w:hAnsi="Arial" w:cs="Arial"/>
          <w:color w:val="000000"/>
          <w:kern w:val="0"/>
        </w:rPr>
      </w:pPr>
    </w:p>
    <w:p w:rsidR="009B29AB" w:rsidRDefault="009B29AB" w:rsidP="00367107">
      <w:pPr>
        <w:spacing w:before="0" w:after="120"/>
        <w:jc w:val="both"/>
        <w:rPr>
          <w:rFonts w:ascii="Arial" w:hAnsi="Arial" w:cs="Arial"/>
          <w:color w:val="000000"/>
          <w:kern w:val="0"/>
        </w:rPr>
      </w:pPr>
    </w:p>
    <w:p w:rsidR="00367107" w:rsidRDefault="00367107" w:rsidP="00367107">
      <w:pPr>
        <w:spacing w:before="0" w:after="120"/>
        <w:jc w:val="both"/>
        <w:rPr>
          <w:rFonts w:ascii="Arial" w:hAnsi="Arial" w:cs="Arial"/>
          <w:color w:val="000000"/>
          <w:kern w:val="0"/>
        </w:rPr>
      </w:pPr>
      <w:bookmarkStart w:id="1" w:name="_GoBack"/>
      <w:bookmarkEnd w:id="1"/>
      <w:r>
        <w:rPr>
          <w:rFonts w:ascii="Arial" w:hAnsi="Arial" w:cs="Arial"/>
          <w:color w:val="000000"/>
          <w:kern w:val="0"/>
        </w:rPr>
        <w:t>Con la pubblicazione dei dati di gennaio 2019,</w:t>
      </w:r>
      <w:r>
        <w:t xml:space="preserve"> </w:t>
      </w:r>
      <w:r>
        <w:rPr>
          <w:rFonts w:ascii="Arial" w:hAnsi="Arial" w:cs="Arial"/>
          <w:color w:val="000000"/>
          <w:kern w:val="0"/>
        </w:rPr>
        <w:t>la</w:t>
      </w:r>
      <w:r w:rsidRPr="000B6995">
        <w:rPr>
          <w:rFonts w:ascii="Arial" w:hAnsi="Arial" w:cs="Arial"/>
          <w:color w:val="000000"/>
          <w:kern w:val="0"/>
        </w:rPr>
        <w:t xml:space="preserve"> diffusione diretta degli indici comunali dei prezzi al consumo è effettuata dai comuni</w:t>
      </w:r>
      <w:r>
        <w:rPr>
          <w:rFonts w:ascii="Arial" w:hAnsi="Arial" w:cs="Arial"/>
          <w:color w:val="000000"/>
          <w:kern w:val="0"/>
        </w:rPr>
        <w:t xml:space="preserve"> autorizzati </w:t>
      </w:r>
      <w:r w:rsidRPr="000B6995">
        <w:rPr>
          <w:rFonts w:ascii="Arial" w:hAnsi="Arial" w:cs="Arial"/>
          <w:color w:val="000000"/>
          <w:kern w:val="0"/>
        </w:rPr>
        <w:t>in concomitanza con l</w:t>
      </w:r>
      <w:r>
        <w:rPr>
          <w:rFonts w:ascii="Arial" w:hAnsi="Arial" w:cs="Arial"/>
          <w:color w:val="000000"/>
          <w:kern w:val="0"/>
        </w:rPr>
        <w:t>’</w:t>
      </w:r>
      <w:r w:rsidRPr="000B6995">
        <w:rPr>
          <w:rFonts w:ascii="Arial" w:hAnsi="Arial" w:cs="Arial"/>
          <w:color w:val="000000"/>
          <w:kern w:val="0"/>
        </w:rPr>
        <w:t>uscita degli indici definitivi da parte dell’Istat</w:t>
      </w:r>
      <w:r>
        <w:rPr>
          <w:rFonts w:ascii="Arial" w:hAnsi="Arial" w:cs="Arial"/>
          <w:color w:val="000000"/>
          <w:kern w:val="0"/>
        </w:rPr>
        <w:t xml:space="preserve">. </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 xml:space="preserve">Gli indici, sia per la stima preliminare sia per quella definitiva, sono diffusi attraverso il comunicato stampa “Prezzi al consumo” disponibile sul sito web dell’Istituto all’indirizzo </w:t>
      </w:r>
      <w:hyperlink r:id="rId40" w:history="1">
        <w:r w:rsidRPr="00B85D2F">
          <w:rPr>
            <w:rStyle w:val="Collegamentoipertestuale"/>
            <w:rFonts w:ascii="Arial" w:hAnsi="Arial" w:cs="Arial"/>
            <w:kern w:val="0"/>
          </w:rPr>
          <w:t>https://www.istat.it/it/archivio/prezzi+al+consumo</w:t>
        </w:r>
      </w:hyperlink>
      <w:r w:rsidRPr="00FB43B0">
        <w:rPr>
          <w:rFonts w:ascii="Arial" w:hAnsi="Arial" w:cs="Arial"/>
          <w:color w:val="000000"/>
          <w:kern w:val="0"/>
        </w:rPr>
        <w:t>.</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 xml:space="preserve">Le serie degli indici aggiornate sono pubblicate, in concomitanza con la diffusione del comunicato stampa, sul data </w:t>
      </w:r>
      <w:proofErr w:type="spellStart"/>
      <w:r w:rsidRPr="00FB43B0">
        <w:rPr>
          <w:rFonts w:ascii="Arial" w:hAnsi="Arial" w:cs="Arial"/>
          <w:color w:val="000000"/>
          <w:kern w:val="0"/>
        </w:rPr>
        <w:t>warehouse</w:t>
      </w:r>
      <w:proofErr w:type="spellEnd"/>
      <w:r w:rsidRPr="00FB43B0">
        <w:rPr>
          <w:rFonts w:ascii="Arial" w:hAnsi="Arial" w:cs="Arial"/>
          <w:color w:val="000000"/>
          <w:kern w:val="0"/>
        </w:rPr>
        <w:t xml:space="preserve"> </w:t>
      </w:r>
      <w:proofErr w:type="spellStart"/>
      <w:r w:rsidRPr="00FB43B0">
        <w:rPr>
          <w:rFonts w:ascii="Arial" w:hAnsi="Arial" w:cs="Arial"/>
          <w:color w:val="000000"/>
          <w:kern w:val="0"/>
        </w:rPr>
        <w:t>I.Stat</w:t>
      </w:r>
      <w:proofErr w:type="spellEnd"/>
      <w:r w:rsidRPr="00FB43B0">
        <w:rPr>
          <w:rFonts w:ascii="Arial" w:hAnsi="Arial" w:cs="Arial"/>
          <w:color w:val="000000"/>
          <w:kern w:val="0"/>
        </w:rPr>
        <w:t xml:space="preserve"> (</w:t>
      </w:r>
      <w:hyperlink r:id="rId41" w:history="1">
        <w:r w:rsidRPr="00FB43B0">
          <w:rPr>
            <w:rStyle w:val="Collegamentoipertestuale"/>
            <w:rFonts w:ascii="Arial" w:hAnsi="Arial" w:cs="Arial"/>
            <w:kern w:val="0"/>
          </w:rPr>
          <w:t>http://dati.istat.it</w:t>
        </w:r>
      </w:hyperlink>
      <w:r w:rsidRPr="00FB43B0">
        <w:rPr>
          <w:rFonts w:ascii="Arial" w:hAnsi="Arial" w:cs="Arial"/>
          <w:color w:val="000000"/>
          <w:kern w:val="0"/>
        </w:rPr>
        <w:t>) all’interno del tema Prezzi - Prezzi al consumo. Unitamente agli indici mensili sono diffuse le variazioni percentuali congiunturali e tendenziali</w:t>
      </w:r>
      <w:r>
        <w:rPr>
          <w:rFonts w:ascii="Arial" w:hAnsi="Arial" w:cs="Arial"/>
          <w:color w:val="000000"/>
          <w:kern w:val="0"/>
        </w:rPr>
        <w:t>,</w:t>
      </w:r>
      <w:r w:rsidRPr="00FB43B0">
        <w:rPr>
          <w:rFonts w:ascii="Arial" w:hAnsi="Arial" w:cs="Arial"/>
          <w:color w:val="000000"/>
          <w:kern w:val="0"/>
        </w:rPr>
        <w:t xml:space="preserve"> gli indici medi annui, le variazioni medie annue e i pesi calcolati annualmente.</w:t>
      </w:r>
      <w:r w:rsidRPr="00242F77">
        <w:rPr>
          <w:rFonts w:ascii="Arial" w:hAnsi="Arial" w:cs="Arial"/>
          <w:color w:val="000000"/>
          <w:kern w:val="0"/>
        </w:rPr>
        <w:t xml:space="preserve"> </w:t>
      </w:r>
      <w:r>
        <w:rPr>
          <w:rFonts w:ascii="Arial" w:hAnsi="Arial" w:cs="Arial"/>
          <w:color w:val="000000"/>
          <w:kern w:val="0"/>
        </w:rPr>
        <w:t>G</w:t>
      </w:r>
      <w:r w:rsidRPr="00614750">
        <w:rPr>
          <w:rFonts w:ascii="Arial" w:hAnsi="Arial" w:cs="Arial"/>
          <w:color w:val="000000"/>
          <w:kern w:val="0"/>
        </w:rPr>
        <w:t>li indici ai diversi livelli di aggregazione</w:t>
      </w:r>
      <w:r>
        <w:rPr>
          <w:rFonts w:ascii="Arial" w:hAnsi="Arial" w:cs="Arial"/>
          <w:color w:val="000000"/>
          <w:kern w:val="0"/>
        </w:rPr>
        <w:t xml:space="preserve"> e per i diversi livelli territoriali di riferimento</w:t>
      </w:r>
      <w:r w:rsidRPr="00614750">
        <w:rPr>
          <w:rFonts w:ascii="Arial" w:hAnsi="Arial" w:cs="Arial"/>
          <w:color w:val="000000"/>
          <w:kern w:val="0"/>
        </w:rPr>
        <w:t xml:space="preserve"> </w:t>
      </w:r>
      <w:r>
        <w:rPr>
          <w:rFonts w:ascii="Arial" w:hAnsi="Arial" w:cs="Arial"/>
          <w:color w:val="000000"/>
          <w:kern w:val="0"/>
        </w:rPr>
        <w:t xml:space="preserve">che </w:t>
      </w:r>
      <w:r w:rsidRPr="00614750">
        <w:rPr>
          <w:rFonts w:ascii="Arial" w:hAnsi="Arial" w:cs="Arial"/>
          <w:color w:val="000000"/>
          <w:kern w:val="0"/>
        </w:rPr>
        <w:t>ha</w:t>
      </w:r>
      <w:r>
        <w:rPr>
          <w:rFonts w:ascii="Arial" w:hAnsi="Arial" w:cs="Arial"/>
          <w:color w:val="000000"/>
          <w:kern w:val="0"/>
        </w:rPr>
        <w:t>nno</w:t>
      </w:r>
      <w:r w:rsidRPr="00614750">
        <w:rPr>
          <w:rFonts w:ascii="Arial" w:hAnsi="Arial" w:cs="Arial"/>
          <w:color w:val="000000"/>
          <w:kern w:val="0"/>
        </w:rPr>
        <w:t xml:space="preserve"> avuto una quota di imputazioni superiore al 50% (in termini di prezzi mancanti e/o di peso) </w:t>
      </w:r>
      <w:r>
        <w:rPr>
          <w:rFonts w:ascii="Arial" w:hAnsi="Arial" w:cs="Arial"/>
          <w:color w:val="000000"/>
          <w:kern w:val="0"/>
        </w:rPr>
        <w:t>sono individuabili con il</w:t>
      </w:r>
      <w:r w:rsidRPr="00614750">
        <w:rPr>
          <w:rFonts w:ascii="Arial" w:hAnsi="Arial" w:cs="Arial"/>
          <w:color w:val="000000"/>
          <w:kern w:val="0"/>
        </w:rPr>
        <w:t xml:space="preserve"> </w:t>
      </w:r>
      <w:proofErr w:type="spellStart"/>
      <w:r w:rsidRPr="00614750">
        <w:rPr>
          <w:rFonts w:ascii="Arial" w:hAnsi="Arial" w:cs="Arial"/>
          <w:color w:val="000000"/>
          <w:kern w:val="0"/>
        </w:rPr>
        <w:t>flag</w:t>
      </w:r>
      <w:proofErr w:type="spellEnd"/>
      <w:r w:rsidRPr="00614750">
        <w:rPr>
          <w:rFonts w:ascii="Arial" w:hAnsi="Arial" w:cs="Arial"/>
          <w:color w:val="000000"/>
          <w:kern w:val="0"/>
        </w:rPr>
        <w:t xml:space="preserve"> “i” (dato imputato</w:t>
      </w:r>
      <w:r>
        <w:rPr>
          <w:rFonts w:ascii="Arial" w:hAnsi="Arial" w:cs="Arial"/>
          <w:color w:val="000000"/>
          <w:kern w:val="0"/>
        </w:rPr>
        <w:t>)</w:t>
      </w:r>
      <w:r w:rsidRPr="00614750">
        <w:rPr>
          <w:rFonts w:ascii="Arial" w:hAnsi="Arial" w:cs="Arial"/>
          <w:color w:val="000000"/>
          <w:kern w:val="0"/>
        </w:rPr>
        <w:t>.</w:t>
      </w:r>
    </w:p>
    <w:p w:rsidR="00367107" w:rsidRDefault="00367107" w:rsidP="00367107">
      <w:pPr>
        <w:spacing w:before="0" w:after="120"/>
        <w:jc w:val="both"/>
        <w:rPr>
          <w:rFonts w:ascii="Arial" w:hAnsi="Arial" w:cs="Arial"/>
        </w:rPr>
      </w:pPr>
      <w:r>
        <w:rPr>
          <w:rFonts w:ascii="Arial" w:hAnsi="Arial" w:cs="Arial"/>
        </w:rPr>
        <w:t xml:space="preserve">Informazioni sugli indici dei prezzi al consumo sono disponibili sulla banca dati </w:t>
      </w:r>
      <w:hyperlink r:id="rId42" w:history="1">
        <w:proofErr w:type="spellStart"/>
        <w:r w:rsidRPr="00760661">
          <w:rPr>
            <w:rStyle w:val="Collegamentoipertestuale"/>
            <w:rFonts w:ascii="Arial" w:hAnsi="Arial" w:cs="Arial"/>
          </w:rPr>
          <w:t>Congiuntura.Stat</w:t>
        </w:r>
        <w:proofErr w:type="spellEnd"/>
      </w:hyperlink>
      <w:r>
        <w:rPr>
          <w:rFonts w:ascii="Arial" w:hAnsi="Arial" w:cs="Arial"/>
        </w:rPr>
        <w:t xml:space="preserve">, che </w:t>
      </w:r>
      <w:r w:rsidRPr="001C73ED">
        <w:rPr>
          <w:rFonts w:ascii="Arial" w:hAnsi="Arial" w:cs="Arial"/>
        </w:rPr>
        <w:t>raccoglie e sistematizza le statistiche congiunturali prodotte dall’Istat e si propone quale strumento di approfondimento per policy maker, operatori sociali, studiosi e cittadini.</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Informazioni sulle serie storiche di tutti e tre gli indici, a partire dal 1861</w:t>
      </w:r>
      <w:r>
        <w:rPr>
          <w:rFonts w:ascii="Arial" w:hAnsi="Arial" w:cs="Arial"/>
          <w:color w:val="000000"/>
          <w:kern w:val="0"/>
        </w:rPr>
        <w:t xml:space="preserve"> e fino al 2015</w:t>
      </w:r>
      <w:r w:rsidRPr="00FB43B0">
        <w:rPr>
          <w:rFonts w:ascii="Arial" w:hAnsi="Arial" w:cs="Arial"/>
          <w:color w:val="000000"/>
          <w:kern w:val="0"/>
        </w:rPr>
        <w:t xml:space="preserve">, sono disponibili sul sito dell’Istat all’indirizzo </w:t>
      </w:r>
      <w:hyperlink r:id="rId43" w:history="1">
        <w:r w:rsidRPr="00FB43B0">
          <w:rPr>
            <w:rStyle w:val="Collegamentoipertestuale"/>
            <w:rFonts w:ascii="Arial" w:hAnsi="Arial" w:cs="Arial"/>
            <w:kern w:val="0"/>
          </w:rPr>
          <w:t>http://seriestoriche.istat.it/</w:t>
        </w:r>
      </w:hyperlink>
      <w:r w:rsidRPr="00FB43B0">
        <w:rPr>
          <w:rFonts w:ascii="Arial" w:hAnsi="Arial" w:cs="Arial"/>
          <w:color w:val="000000"/>
          <w:kern w:val="0"/>
        </w:rPr>
        <w:t>.</w:t>
      </w:r>
    </w:p>
    <w:p w:rsidR="00367107" w:rsidRDefault="00367107" w:rsidP="00367107">
      <w:pPr>
        <w:spacing w:before="0" w:after="120"/>
        <w:jc w:val="both"/>
        <w:rPr>
          <w:rFonts w:ascii="Arial" w:hAnsi="Arial" w:cs="Arial"/>
          <w:color w:val="000000"/>
          <w:kern w:val="0"/>
        </w:rPr>
      </w:pPr>
      <w:r w:rsidRPr="00FB43B0">
        <w:rPr>
          <w:rFonts w:ascii="Arial" w:hAnsi="Arial" w:cs="Arial"/>
          <w:color w:val="000000"/>
          <w:kern w:val="0"/>
        </w:rPr>
        <w:t xml:space="preserve">Dati riepilogativi e approfondimenti sui prezzi al consumo e sul paniere dei beni e servizi sono, inoltre, contenuti in alcuni prodotti editoriali diffusi dall’Istat a cadenza annuale, quali </w:t>
      </w:r>
      <w:r w:rsidRPr="00D4266B">
        <w:rPr>
          <w:rFonts w:ascii="Arial" w:hAnsi="Arial" w:cs="Arial"/>
          <w:color w:val="000000"/>
          <w:kern w:val="0"/>
        </w:rPr>
        <w:t>l’</w:t>
      </w:r>
      <w:r w:rsidRPr="00D4266B">
        <w:rPr>
          <w:rFonts w:ascii="Arial" w:hAnsi="Arial" w:cs="Arial"/>
          <w:i/>
          <w:color w:val="000000"/>
          <w:kern w:val="0"/>
        </w:rPr>
        <w:t>Annuario statistico</w:t>
      </w:r>
      <w:r w:rsidRPr="00FB43B0">
        <w:rPr>
          <w:rFonts w:ascii="Arial" w:hAnsi="Arial" w:cs="Arial"/>
          <w:color w:val="000000"/>
          <w:kern w:val="0"/>
        </w:rPr>
        <w:t xml:space="preserve">, il </w:t>
      </w:r>
      <w:r w:rsidRPr="00D4266B">
        <w:rPr>
          <w:rFonts w:ascii="Arial" w:hAnsi="Arial" w:cs="Arial"/>
          <w:i/>
          <w:color w:val="000000"/>
          <w:kern w:val="0"/>
        </w:rPr>
        <w:t>Rapporto annuale</w:t>
      </w:r>
      <w:r w:rsidRPr="00FB43B0">
        <w:rPr>
          <w:rFonts w:ascii="Arial" w:hAnsi="Arial" w:cs="Arial"/>
          <w:color w:val="000000"/>
          <w:kern w:val="0"/>
        </w:rPr>
        <w:t xml:space="preserve"> e la pubblicazione </w:t>
      </w:r>
      <w:r w:rsidRPr="00D4266B">
        <w:rPr>
          <w:rFonts w:ascii="Arial" w:hAnsi="Arial" w:cs="Arial"/>
          <w:i/>
          <w:color w:val="000000"/>
          <w:kern w:val="0"/>
        </w:rPr>
        <w:t>Noi Italia</w:t>
      </w:r>
      <w:r w:rsidRPr="00FB43B0">
        <w:rPr>
          <w:rFonts w:ascii="Arial" w:hAnsi="Arial" w:cs="Arial"/>
          <w:color w:val="000000"/>
          <w:kern w:val="0"/>
        </w:rPr>
        <w:t>.</w:t>
      </w:r>
    </w:p>
    <w:p w:rsidR="00367107" w:rsidRDefault="00367107" w:rsidP="00367107">
      <w:pPr>
        <w:widowControl/>
        <w:overflowPunct/>
        <w:spacing w:before="0" w:after="0"/>
        <w:jc w:val="both"/>
        <w:rPr>
          <w:rFonts w:ascii="Arial" w:hAnsi="Arial" w:cs="Arial"/>
          <w:color w:val="000000"/>
          <w:kern w:val="0"/>
        </w:rPr>
      </w:pPr>
      <w:r w:rsidRPr="00FB43B0">
        <w:rPr>
          <w:rFonts w:ascii="Arial" w:hAnsi="Arial" w:cs="Arial"/>
          <w:color w:val="000000"/>
          <w:kern w:val="0"/>
        </w:rPr>
        <w:t xml:space="preserve">In adempimento al Regolamento europeo </w:t>
      </w:r>
      <w:r w:rsidRPr="00FB43B0">
        <w:rPr>
          <w:rFonts w:ascii="Arial" w:hAnsi="Arial" w:cs="Arial"/>
          <w:kern w:val="0"/>
        </w:rPr>
        <w:t>n. 792/2016,</w:t>
      </w:r>
      <w:r w:rsidRPr="00FB43B0">
        <w:rPr>
          <w:rFonts w:ascii="Arial" w:hAnsi="Arial" w:cs="Arial"/>
          <w:color w:val="000000"/>
          <w:kern w:val="0"/>
        </w:rPr>
        <w:t xml:space="preserve"> i dati dell’indagine sui prezzi al consumo sono trasmessi due volte al mese ad Eurostat. I principali indicatori, archiviati nel database di Eurostat, sono consultabili al</w:t>
      </w:r>
      <w:r>
        <w:rPr>
          <w:rFonts w:ascii="Arial" w:hAnsi="Arial" w:cs="Arial"/>
          <w:color w:val="000000"/>
          <w:kern w:val="0"/>
        </w:rPr>
        <w:t>l’indirizzo</w:t>
      </w:r>
      <w:r w:rsidRPr="00FB43B0">
        <w:rPr>
          <w:rFonts w:ascii="Arial" w:hAnsi="Arial" w:cs="Arial"/>
          <w:color w:val="000000"/>
          <w:kern w:val="0"/>
        </w:rPr>
        <w:t xml:space="preserve"> </w:t>
      </w:r>
      <w:hyperlink r:id="rId44" w:history="1">
        <w:r w:rsidRPr="00FB43B0">
          <w:rPr>
            <w:rStyle w:val="Collegamentoipertestuale"/>
            <w:rFonts w:ascii="Arial" w:hAnsi="Arial" w:cs="Arial"/>
            <w:kern w:val="0"/>
          </w:rPr>
          <w:t>http://ec.europa.eu/eurostat/data/database</w:t>
        </w:r>
      </w:hyperlink>
      <w:r w:rsidRPr="00FB43B0">
        <w:rPr>
          <w:rFonts w:ascii="Arial" w:hAnsi="Arial" w:cs="Arial"/>
          <w:color w:val="000000"/>
          <w:kern w:val="0"/>
        </w:rPr>
        <w:t xml:space="preserve"> (Tema “</w:t>
      </w:r>
      <w:r w:rsidRPr="00FB43B0">
        <w:rPr>
          <w:rFonts w:ascii="Arial" w:hAnsi="Arial" w:cs="Arial"/>
          <w:i/>
          <w:iCs/>
          <w:color w:val="000000"/>
          <w:kern w:val="0"/>
        </w:rPr>
        <w:t xml:space="preserve">Economy and </w:t>
      </w:r>
      <w:proofErr w:type="spellStart"/>
      <w:r w:rsidRPr="00FB43B0">
        <w:rPr>
          <w:rFonts w:ascii="Arial" w:hAnsi="Arial" w:cs="Arial"/>
          <w:i/>
          <w:iCs/>
          <w:color w:val="000000"/>
          <w:kern w:val="0"/>
        </w:rPr>
        <w:t>finance</w:t>
      </w:r>
      <w:proofErr w:type="spellEnd"/>
      <w:r w:rsidRPr="00FB43B0">
        <w:rPr>
          <w:rFonts w:ascii="Arial" w:hAnsi="Arial" w:cs="Arial"/>
          <w:color w:val="000000"/>
          <w:kern w:val="0"/>
        </w:rPr>
        <w:t>”, argomento “</w:t>
      </w:r>
      <w:proofErr w:type="spellStart"/>
      <w:r w:rsidRPr="00FB43B0">
        <w:rPr>
          <w:rFonts w:ascii="Arial" w:hAnsi="Arial" w:cs="Arial"/>
          <w:i/>
          <w:iCs/>
          <w:color w:val="000000"/>
          <w:kern w:val="0"/>
        </w:rPr>
        <w:t>Prices</w:t>
      </w:r>
      <w:proofErr w:type="spellEnd"/>
      <w:r w:rsidRPr="00FB43B0">
        <w:rPr>
          <w:rFonts w:ascii="Arial" w:hAnsi="Arial" w:cs="Arial"/>
          <w:color w:val="000000"/>
          <w:kern w:val="0"/>
        </w:rPr>
        <w:t>”).</w:t>
      </w:r>
      <w:r w:rsidRPr="00747375">
        <w:rPr>
          <w:rFonts w:ascii="Arial" w:hAnsi="Arial" w:cs="Arial"/>
          <w:color w:val="000000"/>
          <w:kern w:val="0"/>
        </w:rPr>
        <w:t xml:space="preserve"> </w:t>
      </w:r>
    </w:p>
    <w:p w:rsidR="00367107" w:rsidRDefault="00367107" w:rsidP="00367107">
      <w:pPr>
        <w:pStyle w:val="Default"/>
        <w:spacing w:after="120"/>
        <w:jc w:val="both"/>
        <w:rPr>
          <w:rFonts w:ascii="Arial" w:hAnsi="Arial" w:cs="Arial"/>
          <w:b/>
          <w:sz w:val="18"/>
          <w:szCs w:val="22"/>
        </w:rPr>
      </w:pPr>
    </w:p>
    <w:p w:rsidR="00367107" w:rsidRDefault="00367107" w:rsidP="00367107">
      <w:pPr>
        <w:pStyle w:val="Default"/>
        <w:spacing w:after="120"/>
        <w:jc w:val="both"/>
        <w:rPr>
          <w:rFonts w:ascii="Arial" w:hAnsi="Arial" w:cs="Arial"/>
          <w:b/>
          <w:sz w:val="18"/>
          <w:szCs w:val="22"/>
        </w:rPr>
      </w:pPr>
    </w:p>
    <w:p w:rsidR="00367107" w:rsidRDefault="00367107" w:rsidP="00367107">
      <w:pPr>
        <w:pStyle w:val="Default"/>
        <w:spacing w:after="120"/>
        <w:jc w:val="both"/>
        <w:rPr>
          <w:rFonts w:ascii="Arial" w:hAnsi="Arial" w:cs="Arial"/>
          <w:b/>
          <w:sz w:val="18"/>
          <w:szCs w:val="22"/>
        </w:rPr>
      </w:pPr>
    </w:p>
    <w:p w:rsidR="00367107" w:rsidRDefault="00367107" w:rsidP="00367107">
      <w:pPr>
        <w:pStyle w:val="Default"/>
        <w:spacing w:after="120"/>
        <w:jc w:val="both"/>
        <w:rPr>
          <w:rFonts w:ascii="Arial" w:hAnsi="Arial" w:cs="Arial"/>
          <w:b/>
          <w:sz w:val="18"/>
          <w:szCs w:val="22"/>
        </w:rPr>
      </w:pPr>
    </w:p>
    <w:p w:rsidR="00307657" w:rsidRDefault="00307657" w:rsidP="00307657">
      <w:pPr>
        <w:pStyle w:val="Default"/>
        <w:spacing w:after="120"/>
        <w:jc w:val="both"/>
        <w:rPr>
          <w:rFonts w:ascii="Arial" w:hAnsi="Arial" w:cs="Arial"/>
          <w:b/>
          <w:sz w:val="18"/>
          <w:szCs w:val="22"/>
        </w:rPr>
      </w:pPr>
    </w:p>
    <w:p w:rsidR="00F644E2" w:rsidRDefault="00F644E2" w:rsidP="006A09C3">
      <w:pPr>
        <w:spacing w:before="0" w:after="120"/>
        <w:jc w:val="both"/>
        <w:rPr>
          <w:rFonts w:ascii="Arial" w:hAnsi="Arial" w:cs="Arial"/>
          <w:sz w:val="22"/>
          <w:szCs w:val="22"/>
        </w:rPr>
      </w:pPr>
    </w:p>
    <w:p w:rsidR="006A09C3" w:rsidRDefault="006A09C3" w:rsidP="006A09C3">
      <w:pPr>
        <w:spacing w:before="0" w:after="120"/>
        <w:jc w:val="both"/>
        <w:rPr>
          <w:rFonts w:ascii="Arial" w:hAnsi="Arial" w:cs="Arial"/>
          <w:sz w:val="22"/>
          <w:szCs w:val="22"/>
        </w:rPr>
      </w:pPr>
    </w:p>
    <w:p w:rsidR="000A666A" w:rsidRPr="006A09C3" w:rsidRDefault="000A666A" w:rsidP="006A09C3">
      <w:pPr>
        <w:spacing w:before="0" w:after="120"/>
        <w:jc w:val="both"/>
        <w:rPr>
          <w:rFonts w:ascii="Arial" w:hAnsi="Arial" w:cs="Arial"/>
          <w:sz w:val="22"/>
          <w:szCs w:val="22"/>
        </w:rPr>
      </w:pPr>
    </w:p>
    <w:p w:rsidR="000C3D07" w:rsidRDefault="000C3D07" w:rsidP="000C3D07">
      <w:pPr>
        <w:widowControl/>
        <w:overflowPunct/>
        <w:spacing w:before="0" w:after="0"/>
        <w:jc w:val="both"/>
        <w:rPr>
          <w:rFonts w:ascii="Arial"/>
          <w:color w:val="CD232E"/>
          <w:spacing w:val="-1"/>
          <w:sz w:val="36"/>
        </w:rPr>
        <w:sectPr w:rsidR="000C3D07" w:rsidSect="000161B7">
          <w:headerReference w:type="default" r:id="rId45"/>
          <w:pgSz w:w="11907" w:h="16840" w:code="9"/>
          <w:pgMar w:top="1534" w:right="851" w:bottom="680" w:left="851" w:header="567" w:footer="567" w:gutter="0"/>
          <w:cols w:space="720"/>
          <w:noEndnote/>
          <w:docGrid w:linePitch="272"/>
        </w:sectPr>
      </w:pPr>
      <w:r>
        <w:rPr>
          <w:rFonts w:ascii="Arial"/>
          <w:color w:val="CD232E"/>
          <w:spacing w:val="-1"/>
          <w:sz w:val="36"/>
        </w:rPr>
        <w:t>Per chiarimenti</w:t>
      </w:r>
      <w:r>
        <w:rPr>
          <w:rFonts w:ascii="Arial"/>
          <w:color w:val="CD232E"/>
          <w:spacing w:val="1"/>
          <w:sz w:val="36"/>
        </w:rPr>
        <w:t xml:space="preserve"> </w:t>
      </w:r>
      <w:r>
        <w:rPr>
          <w:rFonts w:ascii="Arial"/>
          <w:color w:val="CD232E"/>
          <w:spacing w:val="-1"/>
          <w:sz w:val="36"/>
        </w:rPr>
        <w:t>tecnici</w:t>
      </w:r>
      <w:r>
        <w:rPr>
          <w:rFonts w:ascii="Arial"/>
          <w:color w:val="CD232E"/>
          <w:spacing w:val="-2"/>
          <w:sz w:val="36"/>
        </w:rPr>
        <w:t xml:space="preserve"> </w:t>
      </w:r>
      <w:r>
        <w:rPr>
          <w:rFonts w:ascii="Arial"/>
          <w:color w:val="CD232E"/>
          <w:sz w:val="36"/>
        </w:rPr>
        <w:t>e</w:t>
      </w:r>
      <w:r>
        <w:rPr>
          <w:rFonts w:ascii="Arial"/>
          <w:color w:val="CD232E"/>
          <w:spacing w:val="-1"/>
          <w:sz w:val="36"/>
        </w:rPr>
        <w:t xml:space="preserve"> metodologici</w:t>
      </w:r>
    </w:p>
    <w:p w:rsidR="000C3D07" w:rsidRDefault="000C3D07" w:rsidP="000C3D07">
      <w:pPr>
        <w:widowControl/>
        <w:overflowPunct/>
        <w:spacing w:before="0" w:after="0"/>
        <w:jc w:val="both"/>
        <w:rPr>
          <w:rFonts w:ascii="Arial" w:hAnsi="Arial" w:cs="Arial"/>
          <w:color w:val="000000"/>
          <w:kern w:val="0"/>
        </w:rPr>
      </w:pPr>
    </w:p>
    <w:p w:rsidR="000C3D07" w:rsidRPr="00C141F9" w:rsidRDefault="00090E28" w:rsidP="000C3D07">
      <w:pPr>
        <w:pStyle w:val="Titolo3"/>
        <w:spacing w:before="72"/>
        <w:rPr>
          <w:rFonts w:ascii="Arial" w:eastAsia="Arial" w:hAnsi="Arial" w:cs="Arial"/>
          <w:b w:val="0"/>
          <w:bCs w:val="0"/>
        </w:rPr>
      </w:pPr>
      <w:r w:rsidRPr="00945335">
        <w:rPr>
          <w:rFonts w:ascii="Arial"/>
          <w:color w:val="CD232E"/>
          <w:spacing w:val="-1"/>
        </w:rPr>
        <w:t>Rosabel Ricci</w:t>
      </w:r>
    </w:p>
    <w:p w:rsidR="000C3D07" w:rsidRPr="00C141F9" w:rsidRDefault="000C3D07" w:rsidP="000C3D07">
      <w:pPr>
        <w:spacing w:before="122"/>
        <w:rPr>
          <w:rFonts w:ascii="Arial" w:eastAsia="Arial" w:hAnsi="Arial" w:cs="Arial"/>
          <w:sz w:val="24"/>
          <w:szCs w:val="24"/>
        </w:rPr>
      </w:pPr>
      <w:r w:rsidRPr="00C141F9">
        <w:rPr>
          <w:rFonts w:ascii="Arial"/>
          <w:sz w:val="24"/>
        </w:rPr>
        <w:t>tel.</w:t>
      </w:r>
      <w:r w:rsidRPr="00C141F9">
        <w:rPr>
          <w:rFonts w:ascii="Arial"/>
          <w:spacing w:val="-1"/>
          <w:sz w:val="24"/>
        </w:rPr>
        <w:t xml:space="preserve"> +39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Pr>
          <w:rFonts w:ascii="Arial"/>
          <w:spacing w:val="-1"/>
          <w:sz w:val="24"/>
        </w:rPr>
        <w:t>4673</w:t>
      </w:r>
      <w:r w:rsidRPr="00C141F9">
        <w:rPr>
          <w:rFonts w:ascii="Arial"/>
          <w:spacing w:val="-1"/>
          <w:sz w:val="24"/>
        </w:rPr>
        <w:t xml:space="preserve"> </w:t>
      </w:r>
      <w:r w:rsidR="00090E28">
        <w:rPr>
          <w:rFonts w:ascii="Arial"/>
          <w:spacing w:val="-1"/>
          <w:sz w:val="24"/>
        </w:rPr>
        <w:t>2659</w:t>
      </w:r>
    </w:p>
    <w:p w:rsidR="000C3D07" w:rsidRDefault="009B29AB" w:rsidP="000C3D07">
      <w:pPr>
        <w:spacing w:before="98"/>
        <w:rPr>
          <w:rFonts w:ascii="Arial"/>
          <w:color w:val="0000FF"/>
          <w:spacing w:val="-1"/>
          <w:sz w:val="24"/>
          <w:u w:val="single" w:color="0000FF"/>
        </w:rPr>
      </w:pPr>
      <w:hyperlink r:id="rId46" w:history="1">
        <w:r w:rsidR="00357C8B" w:rsidRPr="006A5B13">
          <w:rPr>
            <w:rStyle w:val="Collegamentoipertestuale"/>
            <w:rFonts w:ascii="Arial"/>
            <w:spacing w:val="-1"/>
            <w:sz w:val="24"/>
            <w:u w:color="0000FF"/>
          </w:rPr>
          <w:t>rosabel.ricci@istat.it</w:t>
        </w:r>
      </w:hyperlink>
    </w:p>
    <w:p w:rsidR="000C3D07" w:rsidRPr="00C141F9" w:rsidRDefault="000C3D07" w:rsidP="000C3D07">
      <w:pPr>
        <w:spacing w:before="98"/>
        <w:rPr>
          <w:rFonts w:ascii="Arial" w:eastAsia="Arial" w:hAnsi="Arial" w:cs="Arial"/>
          <w:sz w:val="24"/>
          <w:szCs w:val="24"/>
        </w:rPr>
      </w:pPr>
    </w:p>
    <w:p w:rsidR="000C3D07" w:rsidRDefault="000C3D07" w:rsidP="000C3D07">
      <w:pPr>
        <w:spacing w:before="72"/>
        <w:ind w:left="112"/>
      </w:pPr>
      <w:r w:rsidRPr="00C141F9">
        <w:br w:type="column"/>
      </w:r>
    </w:p>
    <w:p w:rsidR="000C3D07" w:rsidRPr="00C141F9" w:rsidRDefault="000C3D07" w:rsidP="000C3D07">
      <w:pPr>
        <w:spacing w:before="72"/>
        <w:ind w:left="112"/>
        <w:rPr>
          <w:rFonts w:ascii="Arial" w:eastAsia="Arial" w:hAnsi="Arial" w:cs="Arial"/>
        </w:rPr>
      </w:pPr>
      <w:r>
        <w:rPr>
          <w:rFonts w:ascii="Arial"/>
          <w:b/>
          <w:color w:val="CD232E"/>
          <w:spacing w:val="-1"/>
        </w:rPr>
        <w:t>Federico Polidoro</w:t>
      </w:r>
    </w:p>
    <w:p w:rsidR="000C3D07" w:rsidRPr="00C141F9" w:rsidRDefault="000C3D07" w:rsidP="000C3D07">
      <w:pPr>
        <w:spacing w:before="122"/>
        <w:ind w:left="112"/>
        <w:rPr>
          <w:rFonts w:ascii="Arial" w:eastAsia="Arial" w:hAnsi="Arial" w:cs="Arial"/>
          <w:sz w:val="24"/>
          <w:szCs w:val="24"/>
        </w:rPr>
      </w:pPr>
      <w:r w:rsidRPr="00C141F9">
        <w:rPr>
          <w:rFonts w:ascii="Arial"/>
          <w:sz w:val="24"/>
        </w:rPr>
        <w:t>tel.</w:t>
      </w:r>
      <w:r w:rsidRPr="00C141F9">
        <w:rPr>
          <w:rFonts w:ascii="Arial"/>
          <w:spacing w:val="-2"/>
          <w:sz w:val="24"/>
        </w:rPr>
        <w:t xml:space="preserve"> </w:t>
      </w:r>
      <w:r w:rsidRPr="00C141F9">
        <w:rPr>
          <w:rFonts w:ascii="Arial"/>
          <w:spacing w:val="-1"/>
          <w:sz w:val="24"/>
        </w:rPr>
        <w:t>+39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sidRPr="00C141F9">
        <w:rPr>
          <w:rFonts w:ascii="Arial"/>
          <w:spacing w:val="-1"/>
          <w:sz w:val="24"/>
        </w:rPr>
        <w:t>4673</w:t>
      </w:r>
      <w:r>
        <w:rPr>
          <w:rFonts w:ascii="Arial"/>
          <w:spacing w:val="-1"/>
          <w:sz w:val="24"/>
        </w:rPr>
        <w:t xml:space="preserve"> 2307</w:t>
      </w:r>
    </w:p>
    <w:p w:rsidR="000C3D07" w:rsidRDefault="009B29AB" w:rsidP="000C3D07">
      <w:pPr>
        <w:spacing w:before="98"/>
        <w:ind w:left="112"/>
        <w:rPr>
          <w:rFonts w:ascii="Arial"/>
          <w:color w:val="0000FF"/>
          <w:spacing w:val="-1"/>
          <w:sz w:val="24"/>
          <w:u w:val="single" w:color="0000FF"/>
        </w:rPr>
      </w:pPr>
      <w:hyperlink r:id="rId47">
        <w:r w:rsidR="000C3D07">
          <w:rPr>
            <w:rFonts w:ascii="Arial"/>
            <w:color w:val="0000FF"/>
            <w:spacing w:val="-1"/>
            <w:sz w:val="24"/>
            <w:u w:val="single" w:color="0000FF"/>
          </w:rPr>
          <w:t>federico.polidoro</w:t>
        </w:r>
        <w:r w:rsidR="000C3D07" w:rsidRPr="00C141F9">
          <w:rPr>
            <w:rFonts w:ascii="Arial"/>
            <w:color w:val="0000FF"/>
            <w:spacing w:val="-1"/>
            <w:sz w:val="24"/>
            <w:u w:val="single" w:color="0000FF"/>
          </w:rPr>
          <w:t>@istat.it</w:t>
        </w:r>
      </w:hyperlink>
    </w:p>
    <w:p w:rsidR="000C3D07" w:rsidRPr="00C141F9" w:rsidRDefault="000C3D07" w:rsidP="000C3D07">
      <w:pPr>
        <w:spacing w:before="98"/>
        <w:ind w:left="112"/>
        <w:rPr>
          <w:rFonts w:ascii="Arial" w:eastAsia="Arial" w:hAnsi="Arial" w:cs="Arial"/>
          <w:sz w:val="24"/>
          <w:szCs w:val="24"/>
        </w:rPr>
      </w:pPr>
    </w:p>
    <w:sectPr w:rsidR="000C3D07" w:rsidRPr="00C141F9" w:rsidSect="000C3D07">
      <w:type w:val="continuous"/>
      <w:pgSz w:w="11907" w:h="16840" w:code="9"/>
      <w:pgMar w:top="1534" w:right="851" w:bottom="680" w:left="851" w:header="567" w:footer="567" w:gutter="0"/>
      <w:cols w:num="2"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758" w:rsidRDefault="00DF6758">
      <w:r>
        <w:separator/>
      </w:r>
    </w:p>
  </w:endnote>
  <w:endnote w:type="continuationSeparator" w:id="0">
    <w:p w:rsidR="00DF6758" w:rsidRDefault="00DF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Default="00DF6758" w:rsidP="009F455F">
    <w:pPr>
      <w:pStyle w:val="Pidipagina"/>
      <w:ind w:left="1560"/>
    </w:pPr>
    <w:r>
      <w:rPr>
        <w:rFonts w:ascii="Calibri" w:hAnsi="Calibri"/>
        <w:noProof/>
        <w:color w:val="E42618"/>
        <w:sz w:val="28"/>
        <w:szCs w:val="28"/>
      </w:rPr>
      <w:drawing>
        <wp:anchor distT="0" distB="0" distL="114300" distR="114300" simplePos="0" relativeHeight="251655168"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A96D51">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9B29AB">
      <w:rPr>
        <w:rFonts w:ascii="Arial" w:hAnsi="Arial" w:cs="Arial"/>
        <w:b/>
        <w:noProof/>
        <w:color w:val="808080"/>
        <w:sz w:val="24"/>
        <w:szCs w:val="24"/>
      </w:rPr>
      <w:t>21</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Default="00DF6758" w:rsidP="00CB0759">
    <w:pPr>
      <w:pStyle w:val="Pidipagina"/>
      <w:ind w:left="1560"/>
    </w:pPr>
    <w:r>
      <w:rPr>
        <w:rFonts w:ascii="Calibri" w:hAnsi="Calibri"/>
        <w:noProof/>
        <w:color w:val="E42618"/>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0F43D3">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473ACF">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758" w:rsidRDefault="00DF6758">
      <w:r>
        <w:separator/>
      </w:r>
    </w:p>
  </w:footnote>
  <w:footnote w:type="continuationSeparator" w:id="0">
    <w:p w:rsidR="00DF6758" w:rsidRDefault="00DF6758">
      <w:r>
        <w:continuationSeparator/>
      </w:r>
    </w:p>
  </w:footnote>
  <w:footnote w:id="1">
    <w:p w:rsidR="00DF6758" w:rsidRDefault="00DF6758" w:rsidP="00367107">
      <w:pPr>
        <w:pStyle w:val="Testonotaapidipagina"/>
        <w:spacing w:before="0" w:after="0"/>
      </w:pPr>
      <w:r>
        <w:rPr>
          <w:rStyle w:val="Rimandonotaapidipagina"/>
        </w:rPr>
        <w:footnoteRef/>
      </w:r>
      <w:r>
        <w:t xml:space="preserve"> </w:t>
      </w:r>
      <w:r>
        <w:rPr>
          <w:rFonts w:ascii="Arial" w:hAnsi="Arial" w:cs="Arial"/>
          <w:sz w:val="16"/>
          <w:szCs w:val="16"/>
        </w:rPr>
        <w:t>Dal</w:t>
      </w:r>
      <w:r w:rsidRPr="00E01C06">
        <w:rPr>
          <w:rFonts w:ascii="Arial" w:hAnsi="Arial" w:cs="Arial"/>
          <w:sz w:val="16"/>
          <w:szCs w:val="16"/>
        </w:rPr>
        <w:t xml:space="preserve"> 20</w:t>
      </w:r>
      <w:r>
        <w:rPr>
          <w:rFonts w:ascii="Arial" w:hAnsi="Arial" w:cs="Arial"/>
          <w:sz w:val="16"/>
          <w:szCs w:val="16"/>
        </w:rPr>
        <w:t>20 il comune di Olbia è entrata a far parte dei comuni che partecipano all’indagine.</w:t>
      </w:r>
    </w:p>
  </w:footnote>
  <w:footnote w:id="2">
    <w:p w:rsidR="00DF6758" w:rsidRDefault="00DF6758" w:rsidP="00367107">
      <w:pPr>
        <w:pStyle w:val="Testonotaapidipagina"/>
        <w:spacing w:before="0" w:after="0"/>
        <w:jc w:val="both"/>
      </w:pPr>
      <w:r>
        <w:rPr>
          <w:rStyle w:val="Rimandonotaapidipagina"/>
        </w:rPr>
        <w:footnoteRef/>
      </w:r>
      <w:r>
        <w:t xml:space="preserve"> </w:t>
      </w:r>
      <w:r>
        <w:rPr>
          <w:rFonts w:ascii="Arial" w:hAnsi="Arial" w:cs="Arial"/>
          <w:sz w:val="16"/>
          <w:szCs w:val="16"/>
        </w:rPr>
        <w:t xml:space="preserve">Si tratta dei comuni di Asti, </w:t>
      </w:r>
      <w:r>
        <w:rPr>
          <w:rFonts w:ascii="Arial" w:hAnsi="Arial" w:cs="Arial"/>
          <w:sz w:val="16"/>
        </w:rPr>
        <w:t xml:space="preserve">Chieti, Foggia, Frosinone, L’Aquila, Matera, </w:t>
      </w:r>
      <w:r>
        <w:rPr>
          <w:rFonts w:ascii="Arial" w:hAnsi="Arial" w:cs="Arial"/>
          <w:sz w:val="16"/>
          <w:szCs w:val="16"/>
        </w:rPr>
        <w:t xml:space="preserve">Monza, Prato, </w:t>
      </w:r>
      <w:r>
        <w:rPr>
          <w:rFonts w:ascii="Arial" w:hAnsi="Arial" w:cs="Arial"/>
          <w:sz w:val="16"/>
        </w:rPr>
        <w:t xml:space="preserve">Ragusa, </w:t>
      </w:r>
      <w:r>
        <w:rPr>
          <w:rFonts w:ascii="Arial" w:hAnsi="Arial" w:cs="Arial"/>
          <w:sz w:val="16"/>
          <w:szCs w:val="16"/>
        </w:rPr>
        <w:t>Savona</w:t>
      </w:r>
      <w:r>
        <w:rPr>
          <w:rFonts w:ascii="Arial" w:hAnsi="Arial" w:cs="Arial"/>
          <w:sz w:val="16"/>
        </w:rPr>
        <w:t>, Verbania e Vibo Valentia.</w:t>
      </w:r>
    </w:p>
  </w:footnote>
  <w:footnote w:id="3">
    <w:p w:rsidR="00DF6758" w:rsidRPr="008A6A18" w:rsidRDefault="00DF6758" w:rsidP="00367107">
      <w:pPr>
        <w:pStyle w:val="Testonotaapidipagina"/>
        <w:rPr>
          <w:rFonts w:ascii="Arial" w:hAnsi="Arial" w:cs="Arial"/>
          <w:sz w:val="16"/>
          <w:szCs w:val="16"/>
        </w:rPr>
      </w:pPr>
      <w:r>
        <w:rPr>
          <w:rStyle w:val="Rimandonotaapidipagina"/>
        </w:rPr>
        <w:footnoteRef/>
      </w:r>
      <w:r>
        <w:t xml:space="preserve"> </w:t>
      </w:r>
      <w:r w:rsidRPr="008A6A18">
        <w:rPr>
          <w:rFonts w:ascii="Arial" w:hAnsi="Arial" w:cs="Arial"/>
          <w:sz w:val="16"/>
          <w:szCs w:val="16"/>
        </w:rPr>
        <w:t>A partire da gennaio 2022 la rilevazione dei canoni di affitto per le abitazioni di privati è condotta centralmente dall’Istat tramite l’utilizzo di dati di fonte amministrativa e in particolare della base dati locazioni immobiliari dell’Osservatorio del mercato immobiliare dell’Agenzia delle entrate</w:t>
      </w:r>
      <w:r>
        <w:rPr>
          <w:rFonts w:ascii="Arial" w:hAnsi="Arial" w:cs="Arial"/>
          <w:sz w:val="16"/>
          <w:szCs w:val="16"/>
        </w:rPr>
        <w:t>.</w:t>
      </w:r>
    </w:p>
  </w:footnote>
  <w:footnote w:id="4">
    <w:p w:rsidR="00C90E80" w:rsidRPr="002254B4" w:rsidRDefault="00C90E80" w:rsidP="00C90E80">
      <w:pPr>
        <w:pStyle w:val="Testonotaapidipagina"/>
        <w:spacing w:before="60" w:after="60"/>
        <w:jc w:val="both"/>
        <w:rPr>
          <w:rFonts w:ascii="Arial" w:hAnsi="Arial" w:cs="Arial"/>
          <w:sz w:val="16"/>
          <w:szCs w:val="16"/>
        </w:rPr>
      </w:pPr>
      <w:r w:rsidRPr="00621535">
        <w:rPr>
          <w:rStyle w:val="Rimandonotaapidipagina"/>
          <w:rFonts w:ascii="Arial" w:hAnsi="Arial" w:cs="Arial"/>
        </w:rPr>
        <w:footnoteRef/>
      </w:r>
      <w:r w:rsidRPr="00B21FF0">
        <w:rPr>
          <w:rFonts w:ascii="Arial" w:hAnsi="Arial" w:cs="Arial"/>
          <w:sz w:val="16"/>
          <w:szCs w:val="16"/>
        </w:rPr>
        <w:t xml:space="preserve"> </w:t>
      </w:r>
      <w:r w:rsidRPr="0087429F">
        <w:rPr>
          <w:rFonts w:ascii="Arial" w:hAnsi="Arial" w:cs="Arial"/>
          <w:sz w:val="16"/>
          <w:szCs w:val="16"/>
        </w:rPr>
        <w:t xml:space="preserve">Per una descrizione più dettagliata della procedura di stima della struttura di ponderazione degli indici dei prezzi al consumo nazionali (NIC e FOI) e dell’indice armonizzato (IPCA) si rimanda alla Nota metodologica allegata alla Nota informativa </w:t>
      </w:r>
      <w:r>
        <w:rPr>
          <w:rFonts w:ascii="Arial" w:hAnsi="Arial" w:cs="Arial"/>
          <w:sz w:val="16"/>
          <w:szCs w:val="16"/>
        </w:rPr>
        <w:t>del 2 febbraio 2022</w:t>
      </w:r>
      <w:r w:rsidRPr="0087429F">
        <w:rPr>
          <w:rFonts w:ascii="Arial" w:hAnsi="Arial" w:cs="Arial"/>
          <w:sz w:val="16"/>
          <w:szCs w:val="16"/>
        </w:rPr>
        <w:t xml:space="preserve"> sugli aggiornamenti del paniere, della struttura di ponderazione e dell’indagine sui prezzi al consumo.</w:t>
      </w:r>
    </w:p>
  </w:footnote>
  <w:footnote w:id="5">
    <w:p w:rsidR="00DF6758" w:rsidRDefault="00DF6758" w:rsidP="00367107">
      <w:pPr>
        <w:pStyle w:val="Testonotaapidipagina"/>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Gli indici riferiti agli Aggregati di prodotto, nei quali si articolano ulteriormente i Segmenti di consumo, sono forniti su richiesta per specifiche finalità di studio e analisi.</w:t>
      </w:r>
    </w:p>
  </w:footnote>
  <w:footnote w:id="6">
    <w:p w:rsidR="00DF6758" w:rsidRDefault="00DF6758" w:rsidP="00367107">
      <w:pPr>
        <w:pStyle w:val="Testonotaapidipagina"/>
        <w:tabs>
          <w:tab w:val="left" w:pos="10206"/>
        </w:tabs>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La pubblicazione degli indici IPCA-AS è stata avviata a partire dai dati di febbraio 2013. La descrizione delle categorie merceologiche che definiscono i diversi aggregati speciali è disponibile sul sito web di Eurostat al seguente indirizzo: </w:t>
      </w:r>
    </w:p>
    <w:p w:rsidR="00DF6758" w:rsidRPr="002C7A4F" w:rsidRDefault="009B29AB" w:rsidP="00367107">
      <w:pPr>
        <w:pStyle w:val="Testonotaapidipagina"/>
        <w:tabs>
          <w:tab w:val="left" w:pos="10206"/>
        </w:tabs>
        <w:spacing w:before="0" w:after="0"/>
        <w:jc w:val="both"/>
        <w:rPr>
          <w:rFonts w:ascii="Arial" w:hAnsi="Arial" w:cs="Arial"/>
          <w:sz w:val="14"/>
          <w:szCs w:val="14"/>
        </w:rPr>
      </w:pPr>
      <w:hyperlink r:id="rId1" w:history="1">
        <w:r w:rsidR="00DF6758" w:rsidRPr="00F11253">
          <w:rPr>
            <w:rStyle w:val="Collegamentoipertestuale"/>
            <w:rFonts w:ascii="Arial" w:hAnsi="Arial" w:cs="Arial"/>
            <w:sz w:val="14"/>
            <w:szCs w:val="14"/>
          </w:rPr>
          <w:t>http://ec.europa.eu/eurostat/ramon/nomenclatures/index.cfm?TargetUrl=LST_NOM_DTL&amp;StrNom=HICP_2000&amp;StrLanguageCode=EN&amp;IntPcKey=&amp;StrLayoutCode</w:t>
        </w:r>
      </w:hyperlink>
      <w:r w:rsidR="00DF6758" w:rsidRPr="002C7A4F">
        <w:rPr>
          <w:rFonts w:ascii="Arial" w:hAnsi="Arial" w:cs="Arial"/>
          <w:sz w:val="14"/>
          <w:szCs w:val="14"/>
        </w:rPr>
        <w:t xml:space="preserve"> </w:t>
      </w:r>
    </w:p>
    <w:p w:rsidR="00DF6758" w:rsidRDefault="00DF6758" w:rsidP="00367107">
      <w:pPr>
        <w:pStyle w:val="Testonotaapidipagina"/>
        <w:tabs>
          <w:tab w:val="left" w:pos="10206"/>
        </w:tabs>
        <w:spacing w:before="0" w:after="0"/>
        <w:jc w:val="both"/>
        <w:rPr>
          <w:rFonts w:ascii="Arial" w:hAnsi="Arial" w:cs="Arial"/>
          <w:sz w:val="16"/>
          <w:szCs w:val="16"/>
        </w:rPr>
      </w:pPr>
      <w:r>
        <w:rPr>
          <w:rFonts w:ascii="Arial" w:hAnsi="Arial" w:cs="Arial"/>
          <w:sz w:val="16"/>
          <w:szCs w:val="16"/>
        </w:rPr>
        <w:t xml:space="preserve">Per la metodologia utilizzata per la sintesi degli indici, si consulti il Compendio dell’IPCA disponibile in formato pdf all’indirizzo: </w:t>
      </w:r>
    </w:p>
    <w:p w:rsidR="00DF6758" w:rsidRPr="00904629" w:rsidRDefault="009B29AB" w:rsidP="00367107">
      <w:pPr>
        <w:pStyle w:val="Testonotaapidipagina"/>
        <w:tabs>
          <w:tab w:val="left" w:pos="10206"/>
        </w:tabs>
        <w:spacing w:before="0" w:after="0"/>
        <w:jc w:val="both"/>
        <w:rPr>
          <w:rFonts w:ascii="Arial" w:hAnsi="Arial" w:cs="Arial"/>
          <w:sz w:val="16"/>
          <w:szCs w:val="16"/>
        </w:rPr>
      </w:pPr>
      <w:hyperlink r:id="rId2" w:history="1">
        <w:r w:rsidR="00DF6758" w:rsidRPr="00904629">
          <w:rPr>
            <w:rStyle w:val="Collegamentoipertestuale"/>
            <w:rFonts w:ascii="Arial" w:hAnsi="Arial" w:cs="Arial"/>
            <w:sz w:val="16"/>
            <w:szCs w:val="16"/>
          </w:rPr>
          <w:t>http://ec.europa.eu/eurostat/documents/3859598/5926625/KS-RA-13-017-EN.PDF/59eb2c1c-da1f-472c-b191-3d0c76521f9b?version=1.0</w:t>
        </w:r>
      </w:hyperlink>
      <w:r w:rsidR="00DF6758" w:rsidRPr="00904629">
        <w:rPr>
          <w:rFonts w:ascii="Arial" w:hAnsi="Arial" w:cs="Arial"/>
          <w:sz w:val="16"/>
          <w:szCs w:val="16"/>
        </w:rPr>
        <w:t xml:space="preserve">. </w:t>
      </w:r>
    </w:p>
    <w:p w:rsidR="00DF6758" w:rsidRDefault="00DF6758" w:rsidP="00367107">
      <w:pPr>
        <w:pStyle w:val="Testonotaapidipagina"/>
        <w:tabs>
          <w:tab w:val="left" w:pos="10206"/>
        </w:tabs>
        <w:spacing w:before="0" w:after="60"/>
        <w:jc w:val="both"/>
        <w:rPr>
          <w:rFonts w:ascii="Arial" w:hAnsi="Arial" w:cs="Arial"/>
          <w:sz w:val="16"/>
          <w:szCs w:val="16"/>
        </w:rPr>
      </w:pPr>
      <w:r>
        <w:rPr>
          <w:rFonts w:ascii="Arial" w:hAnsi="Arial" w:cs="Arial"/>
          <w:sz w:val="16"/>
          <w:szCs w:val="16"/>
        </w:rPr>
        <w:t xml:space="preserve">Le serie a partire da gennaio 2001 sono disponibili su </w:t>
      </w:r>
      <w:hyperlink r:id="rId3" w:history="1">
        <w:proofErr w:type="spellStart"/>
        <w:r w:rsidRPr="00904629">
          <w:rPr>
            <w:rStyle w:val="Collegamentoipertestuale"/>
            <w:rFonts w:ascii="Arial" w:hAnsi="Arial" w:cs="Arial"/>
            <w:sz w:val="16"/>
            <w:szCs w:val="16"/>
          </w:rPr>
          <w:t>I.Stat</w:t>
        </w:r>
        <w:proofErr w:type="spellEnd"/>
      </w:hyperlink>
      <w:r w:rsidRPr="00904629">
        <w:rPr>
          <w:rFonts w:ascii="Arial" w:hAnsi="Arial" w:cs="Arial"/>
          <w:sz w:val="16"/>
          <w:szCs w:val="16"/>
        </w:rPr>
        <w:t>,</w:t>
      </w:r>
      <w:r>
        <w:rPr>
          <w:rFonts w:ascii="Arial" w:hAnsi="Arial" w:cs="Arial"/>
          <w:sz w:val="16"/>
          <w:szCs w:val="16"/>
        </w:rPr>
        <w:t xml:space="preserve"> il data </w:t>
      </w:r>
      <w:proofErr w:type="spellStart"/>
      <w:r>
        <w:rPr>
          <w:rFonts w:ascii="Arial" w:hAnsi="Arial" w:cs="Arial"/>
          <w:sz w:val="16"/>
          <w:szCs w:val="16"/>
        </w:rPr>
        <w:t>warehouse</w:t>
      </w:r>
      <w:proofErr w:type="spellEnd"/>
      <w:r>
        <w:rPr>
          <w:rFonts w:ascii="Arial" w:hAnsi="Arial" w:cs="Arial"/>
          <w:sz w:val="16"/>
          <w:szCs w:val="16"/>
        </w:rPr>
        <w:t xml:space="preserve"> delle statistiche prodotte dall’Istituto, sotto il tema “Prezzi” e “Prezzi al consumo”.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Default="00DF6758" w:rsidP="00235BD6">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5B1239F2" wp14:editId="6545D440">
              <wp:simplePos x="0" y="0"/>
              <wp:positionH relativeFrom="column">
                <wp:posOffset>3841090</wp:posOffset>
              </wp:positionH>
              <wp:positionV relativeFrom="paragraph">
                <wp:posOffset>117602</wp:posOffset>
              </wp:positionV>
              <wp:extent cx="1321435" cy="325755"/>
              <wp:effectExtent l="0" t="0" r="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rsidR="00DF6758" w:rsidRPr="00BC2B33" w:rsidRDefault="00DF6758" w:rsidP="00235BD6">
                          <w:pPr>
                            <w:jc w:val="right"/>
                            <w:rPr>
                              <w:color w:val="7F7F7F" w:themeColor="text1" w:themeTint="80"/>
                              <w:kern w:val="0"/>
                            </w:rPr>
                          </w:pPr>
                          <w:r>
                            <w:rPr>
                              <w:rFonts w:ascii="Arial Narrow" w:hAnsi="Arial Narrow"/>
                              <w:b/>
                              <w:color w:val="7F7F7F" w:themeColor="text1" w:themeTint="80"/>
                              <w:sz w:val="26"/>
                              <w:szCs w:val="26"/>
                            </w:rPr>
                            <w:t>22 febbraio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1239F2" id="_x0000_t202" coordsize="21600,21600" o:spt="202" path="m,l,21600r21600,l21600,xe">
              <v:stroke joinstyle="miter"/>
              <v:path gradientshapeok="t" o:connecttype="rect"/>
            </v:shapetype>
            <v:shape id="Casella di testo 2" o:spid="_x0000_s1026" type="#_x0000_t202" style="position:absolute;margin-left:302.45pt;margin-top:9.25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" strokecolor="white">
              <v:path arrowok="t"/>
              <v:textbox style="mso-fit-shape-to-text:t" inset="0,0,0,0">
                <w:txbxContent>
                  <w:p w:rsidR="00DF6758" w:rsidRPr="00BC2B33" w:rsidRDefault="00DF6758" w:rsidP="00235BD6">
                    <w:pPr>
                      <w:jc w:val="right"/>
                      <w:rPr>
                        <w:color w:val="7F7F7F" w:themeColor="text1" w:themeTint="80"/>
                        <w:kern w:val="0"/>
                      </w:rPr>
                    </w:pPr>
                    <w:r>
                      <w:rPr>
                        <w:rFonts w:ascii="Arial Narrow" w:hAnsi="Arial Narrow"/>
                        <w:b/>
                        <w:color w:val="7F7F7F" w:themeColor="text1" w:themeTint="80"/>
                        <w:sz w:val="26"/>
                        <w:szCs w:val="26"/>
                      </w:rPr>
                      <w:t>22 febbraio 2022</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42EC8533" wp14:editId="06BEC93A">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rsidR="00DF6758" w:rsidRPr="00235BD6" w:rsidRDefault="00DF6758"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DF6758" w:rsidRPr="00B367ED" w:rsidRDefault="00DF6758"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DF6758" w:rsidRPr="0035770E" w:rsidRDefault="00DF6758"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8533" id="Casella di testo 36" o:spid="_x0000_s1027"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rsidR="00DF6758" w:rsidRPr="00235BD6" w:rsidRDefault="00DF6758"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DF6758" w:rsidRPr="00B367ED" w:rsidRDefault="00DF6758"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DF6758" w:rsidRPr="0035770E" w:rsidRDefault="00DF6758"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603A656C" wp14:editId="3B51D8A5">
          <wp:simplePos x="0" y="0"/>
          <wp:positionH relativeFrom="column">
            <wp:posOffset>15569</wp:posOffset>
          </wp:positionH>
          <wp:positionV relativeFrom="paragraph">
            <wp:posOffset>-138532</wp:posOffset>
          </wp:positionV>
          <wp:extent cx="5332781" cy="1137834"/>
          <wp:effectExtent l="0" t="0" r="1270" b="5715"/>
          <wp:wrapNone/>
          <wp:docPr id="12"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4DF107CF" wp14:editId="32C5702F">
              <wp:simplePos x="0" y="0"/>
              <wp:positionH relativeFrom="column">
                <wp:posOffset>0</wp:posOffset>
              </wp:positionH>
              <wp:positionV relativeFrom="paragraph">
                <wp:posOffset>1082014</wp:posOffset>
              </wp:positionV>
              <wp:extent cx="6414770" cy="0"/>
              <wp:effectExtent l="0" t="0" r="11430" b="12700"/>
              <wp:wrapNone/>
              <wp:docPr id="21"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0B3B9"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z6g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" strokecolor="#7f7f7f [1612]"/>
          </w:pict>
        </mc:Fallback>
      </mc:AlternateContent>
    </w:r>
  </w:p>
  <w:p w:rsidR="00DF6758" w:rsidRDefault="00DF6758" w:rsidP="00FC6D8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Default="00DF6758">
    <w:pPr>
      <w:pStyle w:val="Intestazione"/>
    </w:pPr>
    <w:r>
      <w:rPr>
        <w:noProof/>
      </w:rPr>
      <mc:AlternateContent>
        <mc:Choice Requires="wps">
          <w:drawing>
            <wp:anchor distT="0" distB="0" distL="114300" distR="114300" simplePos="0" relativeHeight="251654656" behindDoc="0" locked="0" layoutInCell="1" allowOverlap="1" wp14:anchorId="1769CC33" wp14:editId="50CB702E">
              <wp:simplePos x="0" y="0"/>
              <wp:positionH relativeFrom="column">
                <wp:posOffset>531495</wp:posOffset>
              </wp:positionH>
              <wp:positionV relativeFrom="paragraph">
                <wp:posOffset>69850</wp:posOffset>
              </wp:positionV>
              <wp:extent cx="1078230" cy="263525"/>
              <wp:effectExtent l="12700" t="13970" r="13970" b="825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DF6758" w:rsidRDefault="00DF675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69CC33" id="_x0000_t202" coordsize="21600,21600" o:spt="202" path="m,l,21600r21600,l21600,xe">
              <v:stroke joinstyle="miter"/>
              <v:path gradientshapeok="t" o:connecttype="rect"/>
            </v:shapetype>
            <v:shape id="_x0000_s1028" type="#_x0000_t202" style="position:absolute;margin-left:41.85pt;margin-top:5.5pt;width:84.9pt;height:20.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" strokecolor="white">
              <v:textbox style="mso-fit-shape-to-text:t" inset="0,0,0,0">
                <w:txbxContent>
                  <w:p w:rsidR="00DF6758" w:rsidRDefault="00DF675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79B82A2" wp14:editId="13EF463D">
          <wp:extent cx="6480175" cy="588645"/>
          <wp:effectExtent l="0" t="0" r="0" b="1905"/>
          <wp:docPr id="4" name="Immagine 4"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Pr="009E5F03" w:rsidRDefault="00DF6758" w:rsidP="009E5F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Pr="00CC0BEA" w:rsidRDefault="00DF6758" w:rsidP="00CC0BEA">
    <w:pPr>
      <w:pStyle w:val="Intestazione"/>
    </w:pPr>
    <w:r>
      <w:rPr>
        <w:noProof/>
      </w:rPr>
      <w:drawing>
        <wp:inline distT="0" distB="0" distL="0" distR="0" wp14:anchorId="318CE5A4" wp14:editId="0552A29E">
          <wp:extent cx="6480175" cy="596265"/>
          <wp:effectExtent l="0" t="0" r="0" b="0"/>
          <wp:docPr id="43" name="Immagine 43"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96265"/>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0" layoutInCell="1" allowOverlap="1" wp14:anchorId="4E35394D" wp14:editId="6AE417C3">
              <wp:simplePos x="0" y="0"/>
              <wp:positionH relativeFrom="column">
                <wp:posOffset>520700</wp:posOffset>
              </wp:positionH>
              <wp:positionV relativeFrom="paragraph">
                <wp:posOffset>71120</wp:posOffset>
              </wp:positionV>
              <wp:extent cx="1078230" cy="263525"/>
              <wp:effectExtent l="0" t="0" r="26670" b="2286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DF6758"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35394D" id="_x0000_t202" coordsize="21600,21600" o:spt="202" path="m,l,21600r21600,l21600,xe">
              <v:stroke joinstyle="miter"/>
              <v:path gradientshapeok="t" o:connecttype="rect"/>
            </v:shapetype>
            <v:shape id="_x0000_s1029" type="#_x0000_t202" style="position:absolute;margin-left:41pt;margin-top:5.6pt;width:84.9pt;height:20.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" strokecolor="white">
              <v:textbox style="mso-fit-shape-to-text:t" inset="0,0,0,0">
                <w:txbxContent>
                  <w:p w:rsidR="00DF6758"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Pr="00CC0BEA" w:rsidRDefault="00DF6758" w:rsidP="00CC0BEA">
    <w:pPr>
      <w:pStyle w:val="Intestazione"/>
    </w:pPr>
    <w:r>
      <w:rPr>
        <w:noProof/>
      </w:rPr>
      <mc:AlternateContent>
        <mc:Choice Requires="wps">
          <w:drawing>
            <wp:anchor distT="0" distB="0" distL="114300" distR="114300" simplePos="0" relativeHeight="251667456" behindDoc="0" locked="0" layoutInCell="1" allowOverlap="1" wp14:anchorId="1A10A542" wp14:editId="0BA093D8">
              <wp:simplePos x="0" y="0"/>
              <wp:positionH relativeFrom="column">
                <wp:posOffset>520700</wp:posOffset>
              </wp:positionH>
              <wp:positionV relativeFrom="paragraph">
                <wp:posOffset>71120</wp:posOffset>
              </wp:positionV>
              <wp:extent cx="1078230" cy="263525"/>
              <wp:effectExtent l="0" t="0" r="26670" b="2286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DF6758"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10A542" id="_x0000_t202" coordsize="21600,21600" o:spt="202" path="m,l,21600r21600,l21600,xe">
              <v:stroke joinstyle="miter"/>
              <v:path gradientshapeok="t" o:connecttype="rect"/>
            </v:shapetype>
            <v:shape id="_x0000_s1030" type="#_x0000_t202" style="position:absolute;margin-left:41pt;margin-top:5.6pt;width:84.9pt;height:2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" strokecolor="white">
              <v:textbox style="mso-fit-shape-to-text:t" inset="0,0,0,0">
                <w:txbxContent>
                  <w:p w:rsidR="00DF6758"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A548828" wp14:editId="07F83356">
          <wp:extent cx="6480175" cy="58039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Pr="009E5F03" w:rsidRDefault="00DF6758" w:rsidP="009E5F03">
    <w:pPr>
      <w:pStyle w:val="Intestazione"/>
    </w:pPr>
    <w:r>
      <w:rPr>
        <w:noProof/>
      </w:rPr>
      <w:drawing>
        <wp:inline distT="0" distB="0" distL="0" distR="0">
          <wp:extent cx="6480175" cy="580390"/>
          <wp:effectExtent l="0" t="0" r="0" b="0"/>
          <wp:docPr id="13" name="Immagine 13"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simplePos x="0" y="0"/>
              <wp:positionH relativeFrom="column">
                <wp:posOffset>536575</wp:posOffset>
              </wp:positionH>
              <wp:positionV relativeFrom="paragraph">
                <wp:posOffset>41910</wp:posOffset>
              </wp:positionV>
              <wp:extent cx="1078230" cy="263525"/>
              <wp:effectExtent l="0" t="0" r="26670" b="2286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DF6758" w:rsidRDefault="00DF6758"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2.25pt;margin-top:3.3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utHwIAAE8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" strokecolor="white">
              <v:textbox style="mso-fit-shape-to-text:t" inset="0,0,0,0">
                <w:txbxContent>
                  <w:p w:rsidR="00DF6758" w:rsidRDefault="00DF6758"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DF6758" w:rsidRPr="00C423DB" w:rsidRDefault="00DF6758"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58" w:rsidRPr="009E5F03" w:rsidRDefault="00DF6758" w:rsidP="009E5F03">
    <w:pPr>
      <w:pStyle w:val="Intestazione"/>
    </w:pPr>
    <w:r>
      <w:rPr>
        <w:noProof/>
      </w:rPr>
      <mc:AlternateContent>
        <mc:Choice Requires="wps">
          <w:drawing>
            <wp:anchor distT="0" distB="0" distL="114300" distR="114300" simplePos="0" relativeHeight="251658240" behindDoc="0" locked="0" layoutInCell="1" allowOverlap="1" wp14:anchorId="51468396" wp14:editId="1932FD3E">
              <wp:simplePos x="0" y="0"/>
              <wp:positionH relativeFrom="column">
                <wp:posOffset>536575</wp:posOffset>
              </wp:positionH>
              <wp:positionV relativeFrom="paragraph">
                <wp:posOffset>60960</wp:posOffset>
              </wp:positionV>
              <wp:extent cx="1078230" cy="263525"/>
              <wp:effectExtent l="0" t="0" r="26670" b="2286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DF6758" w:rsidRDefault="00DF6758"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DF6758" w:rsidRPr="0017508C" w:rsidRDefault="00DF6758"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468396" id="_x0000_t202" coordsize="21600,21600" o:spt="202" path="m,l,21600r21600,l21600,xe">
              <v:stroke joinstyle="miter"/>
              <v:path gradientshapeok="t" o:connecttype="rect"/>
            </v:shapetype>
            <v:shape id="_x0000_s1032" type="#_x0000_t202" style="position:absolute;margin-left:42.25pt;margin-top:4.8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" strokecolor="white">
              <v:textbox style="mso-fit-shape-to-text:t" inset="0,0,0,0">
                <w:txbxContent>
                  <w:p w:rsidR="00DF6758" w:rsidRDefault="00DF6758"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DF6758" w:rsidRPr="0017508C" w:rsidRDefault="00DF6758"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v:textbox>
            </v:shape>
          </w:pict>
        </mc:Fallback>
      </mc:AlternateContent>
    </w:r>
    <w:r>
      <w:rPr>
        <w:noProof/>
      </w:rPr>
      <w:drawing>
        <wp:inline distT="0" distB="0" distL="0" distR="0" wp14:anchorId="5429EEA4" wp14:editId="67B4EF7A">
          <wp:extent cx="6480175" cy="588645"/>
          <wp:effectExtent l="0" t="0" r="0" b="1905"/>
          <wp:docPr id="14" name="Immagine 14"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7.2pt" o:bullet="t">
        <v:imagedata r:id="rId1" o:title=""/>
      </v:shape>
    </w:pict>
  </w:numPicBullet>
  <w:numPicBullet w:numPicBulletId="1">
    <w:pict>
      <v:shape id="_x0000_i1027" type="#_x0000_t75" style="width:8.45pt;height:8.45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56C3596"/>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9315D3"/>
    <w:multiLevelType w:val="hybridMultilevel"/>
    <w:tmpl w:val="EF400274"/>
    <w:lvl w:ilvl="0" w:tplc="8CAC103E">
      <w:start w:val="1"/>
      <w:numFmt w:val="bullet"/>
      <w:lvlText w:val=""/>
      <w:lvlPicBulletId w:val="0"/>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EB06D5"/>
    <w:multiLevelType w:val="hybridMultilevel"/>
    <w:tmpl w:val="FB56AB9A"/>
    <w:lvl w:ilvl="0" w:tplc="B2FE55E2">
      <w:start w:val="1"/>
      <w:numFmt w:val="bullet"/>
      <w:lvlText w:val=""/>
      <w:lvlPicBulletId w:val="0"/>
      <w:lvlJc w:val="left"/>
      <w:pPr>
        <w:tabs>
          <w:tab w:val="num" w:pos="720"/>
        </w:tabs>
        <w:ind w:left="720" w:hanging="360"/>
      </w:pPr>
      <w:rPr>
        <w:rFonts w:ascii="Symbol" w:hAnsi="Symbol" w:hint="default"/>
      </w:rPr>
    </w:lvl>
    <w:lvl w:ilvl="1" w:tplc="92C4D3EE" w:tentative="1">
      <w:start w:val="1"/>
      <w:numFmt w:val="bullet"/>
      <w:lvlText w:val=""/>
      <w:lvlJc w:val="left"/>
      <w:pPr>
        <w:tabs>
          <w:tab w:val="num" w:pos="1440"/>
        </w:tabs>
        <w:ind w:left="1440" w:hanging="360"/>
      </w:pPr>
      <w:rPr>
        <w:rFonts w:ascii="Symbol" w:hAnsi="Symbol" w:hint="default"/>
      </w:rPr>
    </w:lvl>
    <w:lvl w:ilvl="2" w:tplc="D30C083A" w:tentative="1">
      <w:start w:val="1"/>
      <w:numFmt w:val="bullet"/>
      <w:lvlText w:val=""/>
      <w:lvlJc w:val="left"/>
      <w:pPr>
        <w:tabs>
          <w:tab w:val="num" w:pos="2160"/>
        </w:tabs>
        <w:ind w:left="2160" w:hanging="360"/>
      </w:pPr>
      <w:rPr>
        <w:rFonts w:ascii="Symbol" w:hAnsi="Symbol" w:hint="default"/>
      </w:rPr>
    </w:lvl>
    <w:lvl w:ilvl="3" w:tplc="02223036" w:tentative="1">
      <w:start w:val="1"/>
      <w:numFmt w:val="bullet"/>
      <w:lvlText w:val=""/>
      <w:lvlJc w:val="left"/>
      <w:pPr>
        <w:tabs>
          <w:tab w:val="num" w:pos="2880"/>
        </w:tabs>
        <w:ind w:left="2880" w:hanging="360"/>
      </w:pPr>
      <w:rPr>
        <w:rFonts w:ascii="Symbol" w:hAnsi="Symbol" w:hint="default"/>
      </w:rPr>
    </w:lvl>
    <w:lvl w:ilvl="4" w:tplc="E7FC4076" w:tentative="1">
      <w:start w:val="1"/>
      <w:numFmt w:val="bullet"/>
      <w:lvlText w:val=""/>
      <w:lvlJc w:val="left"/>
      <w:pPr>
        <w:tabs>
          <w:tab w:val="num" w:pos="3600"/>
        </w:tabs>
        <w:ind w:left="3600" w:hanging="360"/>
      </w:pPr>
      <w:rPr>
        <w:rFonts w:ascii="Symbol" w:hAnsi="Symbol" w:hint="default"/>
      </w:rPr>
    </w:lvl>
    <w:lvl w:ilvl="5" w:tplc="819EFF5A" w:tentative="1">
      <w:start w:val="1"/>
      <w:numFmt w:val="bullet"/>
      <w:lvlText w:val=""/>
      <w:lvlJc w:val="left"/>
      <w:pPr>
        <w:tabs>
          <w:tab w:val="num" w:pos="4320"/>
        </w:tabs>
        <w:ind w:left="4320" w:hanging="360"/>
      </w:pPr>
      <w:rPr>
        <w:rFonts w:ascii="Symbol" w:hAnsi="Symbol" w:hint="default"/>
      </w:rPr>
    </w:lvl>
    <w:lvl w:ilvl="6" w:tplc="ABC074C0" w:tentative="1">
      <w:start w:val="1"/>
      <w:numFmt w:val="bullet"/>
      <w:lvlText w:val=""/>
      <w:lvlJc w:val="left"/>
      <w:pPr>
        <w:tabs>
          <w:tab w:val="num" w:pos="5040"/>
        </w:tabs>
        <w:ind w:left="5040" w:hanging="360"/>
      </w:pPr>
      <w:rPr>
        <w:rFonts w:ascii="Symbol" w:hAnsi="Symbol" w:hint="default"/>
      </w:rPr>
    </w:lvl>
    <w:lvl w:ilvl="7" w:tplc="8E583D36" w:tentative="1">
      <w:start w:val="1"/>
      <w:numFmt w:val="bullet"/>
      <w:lvlText w:val=""/>
      <w:lvlJc w:val="left"/>
      <w:pPr>
        <w:tabs>
          <w:tab w:val="num" w:pos="5760"/>
        </w:tabs>
        <w:ind w:left="5760" w:hanging="360"/>
      </w:pPr>
      <w:rPr>
        <w:rFonts w:ascii="Symbol" w:hAnsi="Symbol" w:hint="default"/>
      </w:rPr>
    </w:lvl>
    <w:lvl w:ilvl="8" w:tplc="B1D602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BF3BFF"/>
    <w:multiLevelType w:val="hybridMultilevel"/>
    <w:tmpl w:val="FDD2E72E"/>
    <w:lvl w:ilvl="0" w:tplc="5F0E29A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7" w15:restartNumberingAfterBreak="0">
    <w:nsid w:val="09B04BFB"/>
    <w:multiLevelType w:val="hybridMultilevel"/>
    <w:tmpl w:val="C52A7568"/>
    <w:lvl w:ilvl="0" w:tplc="82C8BDA8">
      <w:start w:val="1"/>
      <w:numFmt w:val="bullet"/>
      <w:lvlText w:val=""/>
      <w:lvlJc w:val="left"/>
      <w:pPr>
        <w:ind w:left="36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272349"/>
    <w:multiLevelType w:val="hybridMultilevel"/>
    <w:tmpl w:val="B596EB7A"/>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0AB86367"/>
    <w:multiLevelType w:val="hybridMultilevel"/>
    <w:tmpl w:val="4FFCC8F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0"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72E02"/>
    <w:multiLevelType w:val="hybridMultilevel"/>
    <w:tmpl w:val="98E2AEF0"/>
    <w:lvl w:ilvl="0" w:tplc="A8762A92">
      <w:start w:val="1"/>
      <w:numFmt w:val="bullet"/>
      <w:lvlText w:val=""/>
      <w:lvlPicBulletId w:val="1"/>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3" w15:restartNumberingAfterBreak="0">
    <w:nsid w:val="15B33207"/>
    <w:multiLevelType w:val="hybridMultilevel"/>
    <w:tmpl w:val="0D7A8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EC23CD"/>
    <w:multiLevelType w:val="hybridMultilevel"/>
    <w:tmpl w:val="515230EE"/>
    <w:lvl w:ilvl="0" w:tplc="A8762A92">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6" w15:restartNumberingAfterBreak="0">
    <w:nsid w:val="27400167"/>
    <w:multiLevelType w:val="hybridMultilevel"/>
    <w:tmpl w:val="71D0AC6A"/>
    <w:lvl w:ilvl="0" w:tplc="48A08B9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29FC5E71"/>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8D1546"/>
    <w:multiLevelType w:val="hybridMultilevel"/>
    <w:tmpl w:val="8D50C4BA"/>
    <w:lvl w:ilvl="0" w:tplc="BEB84E40">
      <w:start w:val="1"/>
      <w:numFmt w:val="bullet"/>
      <w:lvlText w:val=""/>
      <w:lvlPicBulletId w:val="0"/>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1361525"/>
    <w:multiLevelType w:val="hybridMultilevel"/>
    <w:tmpl w:val="C6F64AD6"/>
    <w:lvl w:ilvl="0" w:tplc="723CD9BA">
      <w:start w:val="1"/>
      <w:numFmt w:val="bullet"/>
      <w:lvlText w:val=""/>
      <w:lvlPicBulletId w:val="0"/>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1" w15:restartNumberingAfterBreak="0">
    <w:nsid w:val="313F7E03"/>
    <w:multiLevelType w:val="hybridMultilevel"/>
    <w:tmpl w:val="EF88D464"/>
    <w:lvl w:ilvl="0" w:tplc="DC6831E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CC2B15"/>
    <w:multiLevelType w:val="hybridMultilevel"/>
    <w:tmpl w:val="968862A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4" w15:restartNumberingAfterBreak="0">
    <w:nsid w:val="3B126581"/>
    <w:multiLevelType w:val="hybridMultilevel"/>
    <w:tmpl w:val="3EDCEA5C"/>
    <w:lvl w:ilvl="0" w:tplc="723CD9BA">
      <w:start w:val="1"/>
      <w:numFmt w:val="bullet"/>
      <w:lvlText w:val=""/>
      <w:lvlPicBulletId w:val="0"/>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F8F0948"/>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0037B4E"/>
    <w:multiLevelType w:val="hybridMultilevel"/>
    <w:tmpl w:val="2EE8FC76"/>
    <w:lvl w:ilvl="0" w:tplc="53A204B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2B69B0"/>
    <w:multiLevelType w:val="hybridMultilevel"/>
    <w:tmpl w:val="62583230"/>
    <w:lvl w:ilvl="0" w:tplc="980A3E20">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43DB5AF6"/>
    <w:multiLevelType w:val="hybridMultilevel"/>
    <w:tmpl w:val="1F1CF902"/>
    <w:lvl w:ilvl="0" w:tplc="812022A2">
      <w:start w:val="1"/>
      <w:numFmt w:val="lowerLetter"/>
      <w:lvlText w:val="(%1)"/>
      <w:lvlJc w:val="left"/>
      <w:pPr>
        <w:ind w:left="990" w:hanging="6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B7641BD"/>
    <w:multiLevelType w:val="hybridMultilevel"/>
    <w:tmpl w:val="6ADE222C"/>
    <w:lvl w:ilvl="0" w:tplc="723CD9BA">
      <w:start w:val="1"/>
      <w:numFmt w:val="bullet"/>
      <w:lvlText w:val=""/>
      <w:lvlPicBulletId w:val="0"/>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0"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1" w15:restartNumberingAfterBreak="0">
    <w:nsid w:val="53AC3738"/>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D208CF"/>
    <w:multiLevelType w:val="hybridMultilevel"/>
    <w:tmpl w:val="3364CF3C"/>
    <w:lvl w:ilvl="0" w:tplc="DFE4B1A6">
      <w:start w:val="1"/>
      <w:numFmt w:val="bullet"/>
      <w:lvlText w:val=""/>
      <w:lvlPicBulletId w:val="0"/>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F61623A"/>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6A10E50"/>
    <w:multiLevelType w:val="hybridMultilevel"/>
    <w:tmpl w:val="F8DE1BF8"/>
    <w:lvl w:ilvl="0" w:tplc="37C26DD4">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5" w15:restartNumberingAfterBreak="0">
    <w:nsid w:val="66D53A64"/>
    <w:multiLevelType w:val="hybridMultilevel"/>
    <w:tmpl w:val="E73EDCB6"/>
    <w:lvl w:ilvl="0" w:tplc="723CD9BA">
      <w:start w:val="1"/>
      <w:numFmt w:val="bullet"/>
      <w:lvlText w:val=""/>
      <w:lvlPicBulletId w:val="0"/>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7BB2EB1"/>
    <w:multiLevelType w:val="hybridMultilevel"/>
    <w:tmpl w:val="E3FA6C7E"/>
    <w:lvl w:ilvl="0" w:tplc="82C8BDA8">
      <w:start w:val="1"/>
      <w:numFmt w:val="bullet"/>
      <w:lvlText w:val=""/>
      <w:lvlJc w:val="left"/>
      <w:pPr>
        <w:ind w:left="72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2F1680C"/>
    <w:multiLevelType w:val="hybridMultilevel"/>
    <w:tmpl w:val="B93A53EA"/>
    <w:lvl w:ilvl="0" w:tplc="90C8B6DA">
      <w:start w:val="1"/>
      <w:numFmt w:val="bullet"/>
      <w:lvlText w:val=""/>
      <w:lvlJc w:val="left"/>
      <w:pPr>
        <w:ind w:left="2534" w:hanging="360"/>
      </w:pPr>
      <w:rPr>
        <w:rFonts w:ascii="Wingdings" w:hAnsi="Wingdings" w:hint="default"/>
        <w:color w:val="E42618"/>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8" w15:restartNumberingAfterBreak="0">
    <w:nsid w:val="7F331D91"/>
    <w:multiLevelType w:val="hybridMultilevel"/>
    <w:tmpl w:val="E0E0959C"/>
    <w:lvl w:ilvl="0" w:tplc="28BE514C">
      <w:start w:val="1"/>
      <w:numFmt w:val="bullet"/>
      <w:lvlText w:val=""/>
      <w:lvlPicBulletId w:val="1"/>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2"/>
  </w:num>
  <w:num w:numId="3">
    <w:abstractNumId w:val="35"/>
  </w:num>
  <w:num w:numId="4">
    <w:abstractNumId w:val="37"/>
  </w:num>
  <w:num w:numId="5">
    <w:abstractNumId w:val="7"/>
  </w:num>
  <w:num w:numId="6">
    <w:abstractNumId w:val="13"/>
  </w:num>
  <w:num w:numId="7">
    <w:abstractNumId w:val="5"/>
  </w:num>
  <w:num w:numId="8">
    <w:abstractNumId w:val="28"/>
  </w:num>
  <w:num w:numId="9">
    <w:abstractNumId w:val="7"/>
  </w:num>
  <w:num w:numId="10">
    <w:abstractNumId w:val="15"/>
  </w:num>
  <w:num w:numId="11">
    <w:abstractNumId w:val="14"/>
  </w:num>
  <w:num w:numId="12">
    <w:abstractNumId w:val="36"/>
  </w:num>
  <w:num w:numId="13">
    <w:abstractNumId w:val="26"/>
  </w:num>
  <w:num w:numId="14">
    <w:abstractNumId w:val="31"/>
  </w:num>
  <w:num w:numId="15">
    <w:abstractNumId w:val="33"/>
  </w:num>
  <w:num w:numId="16">
    <w:abstractNumId w:val="34"/>
  </w:num>
  <w:num w:numId="17">
    <w:abstractNumId w:val="8"/>
  </w:num>
  <w:num w:numId="18">
    <w:abstractNumId w:val="27"/>
  </w:num>
  <w:num w:numId="19">
    <w:abstractNumId w:val="11"/>
  </w:num>
  <w:num w:numId="20">
    <w:abstractNumId w:val="24"/>
  </w:num>
  <w:num w:numId="21">
    <w:abstractNumId w:val="29"/>
  </w:num>
  <w:num w:numId="22">
    <w:abstractNumId w:val="4"/>
  </w:num>
  <w:num w:numId="23">
    <w:abstractNumId w:val="3"/>
  </w:num>
  <w:num w:numId="24">
    <w:abstractNumId w:val="0"/>
  </w:num>
  <w:num w:numId="25">
    <w:abstractNumId w:val="17"/>
  </w:num>
  <w:num w:numId="26">
    <w:abstractNumId w:val="25"/>
  </w:num>
  <w:num w:numId="27">
    <w:abstractNumId w:val="9"/>
  </w:num>
  <w:num w:numId="28">
    <w:abstractNumId w:val="6"/>
  </w:num>
  <w:num w:numId="29">
    <w:abstractNumId w:val="10"/>
  </w:num>
  <w:num w:numId="30">
    <w:abstractNumId w:val="22"/>
  </w:num>
  <w:num w:numId="31">
    <w:abstractNumId w:val="1"/>
  </w:num>
  <w:num w:numId="32">
    <w:abstractNumId w:val="38"/>
  </w:num>
  <w:num w:numId="33">
    <w:abstractNumId w:val="18"/>
  </w:num>
  <w:num w:numId="34">
    <w:abstractNumId w:val="32"/>
  </w:num>
  <w:num w:numId="35">
    <w:abstractNumId w:val="12"/>
  </w:num>
  <w:num w:numId="36">
    <w:abstractNumId w:val="30"/>
  </w:num>
  <w:num w:numId="37">
    <w:abstractNumId w:val="20"/>
  </w:num>
  <w:num w:numId="38">
    <w:abstractNumId w:val="19"/>
  </w:num>
  <w:num w:numId="39">
    <w:abstractNumId w:val="16"/>
  </w:num>
  <w:num w:numId="4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vertical-relative:line" fill="f" fillcolor="white" stroke="f">
      <v:fill color="white" on="f"/>
      <v:stroke on="f"/>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0909"/>
    <w:rsid w:val="000013A9"/>
    <w:rsid w:val="000014C4"/>
    <w:rsid w:val="00001875"/>
    <w:rsid w:val="00001C85"/>
    <w:rsid w:val="00001CEC"/>
    <w:rsid w:val="00001E4D"/>
    <w:rsid w:val="000020B2"/>
    <w:rsid w:val="000020B7"/>
    <w:rsid w:val="0000212A"/>
    <w:rsid w:val="0000242C"/>
    <w:rsid w:val="000026DF"/>
    <w:rsid w:val="00002F2D"/>
    <w:rsid w:val="000034C8"/>
    <w:rsid w:val="00003834"/>
    <w:rsid w:val="00003AAA"/>
    <w:rsid w:val="00003AB5"/>
    <w:rsid w:val="00003AD9"/>
    <w:rsid w:val="00003D59"/>
    <w:rsid w:val="00003F46"/>
    <w:rsid w:val="0000402D"/>
    <w:rsid w:val="000041BD"/>
    <w:rsid w:val="000043D5"/>
    <w:rsid w:val="0000451B"/>
    <w:rsid w:val="00004794"/>
    <w:rsid w:val="000049DD"/>
    <w:rsid w:val="00004DDD"/>
    <w:rsid w:val="00004DF3"/>
    <w:rsid w:val="00004E38"/>
    <w:rsid w:val="00005164"/>
    <w:rsid w:val="00005448"/>
    <w:rsid w:val="00005A6B"/>
    <w:rsid w:val="0000683C"/>
    <w:rsid w:val="000068BB"/>
    <w:rsid w:val="00006CF6"/>
    <w:rsid w:val="00006DB7"/>
    <w:rsid w:val="00006FEF"/>
    <w:rsid w:val="00007042"/>
    <w:rsid w:val="0000713B"/>
    <w:rsid w:val="00007235"/>
    <w:rsid w:val="0000740E"/>
    <w:rsid w:val="00007E47"/>
    <w:rsid w:val="00010041"/>
    <w:rsid w:val="000101B6"/>
    <w:rsid w:val="000101FB"/>
    <w:rsid w:val="000102D5"/>
    <w:rsid w:val="00010573"/>
    <w:rsid w:val="0001089C"/>
    <w:rsid w:val="000108ED"/>
    <w:rsid w:val="00010957"/>
    <w:rsid w:val="000109E3"/>
    <w:rsid w:val="00010A46"/>
    <w:rsid w:val="00010B15"/>
    <w:rsid w:val="00010B3A"/>
    <w:rsid w:val="00010B3C"/>
    <w:rsid w:val="000113F8"/>
    <w:rsid w:val="00011610"/>
    <w:rsid w:val="000116D7"/>
    <w:rsid w:val="000119A0"/>
    <w:rsid w:val="00011A51"/>
    <w:rsid w:val="00011C85"/>
    <w:rsid w:val="00011F76"/>
    <w:rsid w:val="00012101"/>
    <w:rsid w:val="00012364"/>
    <w:rsid w:val="000126C2"/>
    <w:rsid w:val="0001283C"/>
    <w:rsid w:val="00012A11"/>
    <w:rsid w:val="000134A3"/>
    <w:rsid w:val="000135AB"/>
    <w:rsid w:val="00013751"/>
    <w:rsid w:val="00013995"/>
    <w:rsid w:val="00013A1E"/>
    <w:rsid w:val="00013ED5"/>
    <w:rsid w:val="00013F41"/>
    <w:rsid w:val="0001463A"/>
    <w:rsid w:val="000146ED"/>
    <w:rsid w:val="00014927"/>
    <w:rsid w:val="00014AF9"/>
    <w:rsid w:val="00014EC8"/>
    <w:rsid w:val="00014F7E"/>
    <w:rsid w:val="00015C2B"/>
    <w:rsid w:val="00015D22"/>
    <w:rsid w:val="00015EAD"/>
    <w:rsid w:val="00015F2F"/>
    <w:rsid w:val="000161B7"/>
    <w:rsid w:val="000163BB"/>
    <w:rsid w:val="00016831"/>
    <w:rsid w:val="00016B13"/>
    <w:rsid w:val="00016FCA"/>
    <w:rsid w:val="000172C7"/>
    <w:rsid w:val="00017353"/>
    <w:rsid w:val="000205CA"/>
    <w:rsid w:val="0002065A"/>
    <w:rsid w:val="000211AD"/>
    <w:rsid w:val="000213E2"/>
    <w:rsid w:val="00021652"/>
    <w:rsid w:val="0002181D"/>
    <w:rsid w:val="00021A79"/>
    <w:rsid w:val="00021B34"/>
    <w:rsid w:val="00022197"/>
    <w:rsid w:val="00022763"/>
    <w:rsid w:val="000228CB"/>
    <w:rsid w:val="000229D6"/>
    <w:rsid w:val="00022CBD"/>
    <w:rsid w:val="00023424"/>
    <w:rsid w:val="00023452"/>
    <w:rsid w:val="000241B7"/>
    <w:rsid w:val="00024BDA"/>
    <w:rsid w:val="00024DC2"/>
    <w:rsid w:val="000250BE"/>
    <w:rsid w:val="000250D2"/>
    <w:rsid w:val="00025294"/>
    <w:rsid w:val="000254AC"/>
    <w:rsid w:val="0002574E"/>
    <w:rsid w:val="000257C6"/>
    <w:rsid w:val="00025822"/>
    <w:rsid w:val="00025A3E"/>
    <w:rsid w:val="00025A73"/>
    <w:rsid w:val="00025AA7"/>
    <w:rsid w:val="00025EA7"/>
    <w:rsid w:val="0002606C"/>
    <w:rsid w:val="000266A7"/>
    <w:rsid w:val="00027C45"/>
    <w:rsid w:val="00027CFD"/>
    <w:rsid w:val="00027FBC"/>
    <w:rsid w:val="00030309"/>
    <w:rsid w:val="00030BEE"/>
    <w:rsid w:val="0003109B"/>
    <w:rsid w:val="0003114F"/>
    <w:rsid w:val="00031258"/>
    <w:rsid w:val="00031864"/>
    <w:rsid w:val="00031934"/>
    <w:rsid w:val="00031C2E"/>
    <w:rsid w:val="000320B7"/>
    <w:rsid w:val="00032A4E"/>
    <w:rsid w:val="00033432"/>
    <w:rsid w:val="00033865"/>
    <w:rsid w:val="00033E85"/>
    <w:rsid w:val="00033F32"/>
    <w:rsid w:val="000345F9"/>
    <w:rsid w:val="000349DE"/>
    <w:rsid w:val="000350E3"/>
    <w:rsid w:val="00035164"/>
    <w:rsid w:val="00035817"/>
    <w:rsid w:val="00035837"/>
    <w:rsid w:val="0003629C"/>
    <w:rsid w:val="000362B0"/>
    <w:rsid w:val="000363D3"/>
    <w:rsid w:val="00036668"/>
    <w:rsid w:val="00036E38"/>
    <w:rsid w:val="0003704B"/>
    <w:rsid w:val="0003731A"/>
    <w:rsid w:val="000377E5"/>
    <w:rsid w:val="0004002D"/>
    <w:rsid w:val="00040033"/>
    <w:rsid w:val="000402DE"/>
    <w:rsid w:val="00041081"/>
    <w:rsid w:val="000417CF"/>
    <w:rsid w:val="00041DD2"/>
    <w:rsid w:val="00041DDD"/>
    <w:rsid w:val="00041DEF"/>
    <w:rsid w:val="00041F8D"/>
    <w:rsid w:val="00041FC1"/>
    <w:rsid w:val="0004257E"/>
    <w:rsid w:val="00042B16"/>
    <w:rsid w:val="00042D21"/>
    <w:rsid w:val="00042F44"/>
    <w:rsid w:val="00042F77"/>
    <w:rsid w:val="000433C2"/>
    <w:rsid w:val="000433FC"/>
    <w:rsid w:val="0004346C"/>
    <w:rsid w:val="00043C67"/>
    <w:rsid w:val="0004442C"/>
    <w:rsid w:val="000446D7"/>
    <w:rsid w:val="00044806"/>
    <w:rsid w:val="00044BA2"/>
    <w:rsid w:val="00044DCD"/>
    <w:rsid w:val="000455A6"/>
    <w:rsid w:val="00045623"/>
    <w:rsid w:val="000457A7"/>
    <w:rsid w:val="00045BC9"/>
    <w:rsid w:val="00045CF0"/>
    <w:rsid w:val="000462ED"/>
    <w:rsid w:val="00046668"/>
    <w:rsid w:val="00046881"/>
    <w:rsid w:val="00046950"/>
    <w:rsid w:val="00046AF5"/>
    <w:rsid w:val="000474A3"/>
    <w:rsid w:val="00047509"/>
    <w:rsid w:val="000478E6"/>
    <w:rsid w:val="000479D4"/>
    <w:rsid w:val="00047CCE"/>
    <w:rsid w:val="00047E42"/>
    <w:rsid w:val="00050117"/>
    <w:rsid w:val="00050204"/>
    <w:rsid w:val="00050441"/>
    <w:rsid w:val="00050489"/>
    <w:rsid w:val="00050496"/>
    <w:rsid w:val="0005073C"/>
    <w:rsid w:val="000508D1"/>
    <w:rsid w:val="000510DA"/>
    <w:rsid w:val="0005112D"/>
    <w:rsid w:val="000512D1"/>
    <w:rsid w:val="0005182E"/>
    <w:rsid w:val="00051D92"/>
    <w:rsid w:val="00051E6A"/>
    <w:rsid w:val="00051FC2"/>
    <w:rsid w:val="0005220D"/>
    <w:rsid w:val="0005314D"/>
    <w:rsid w:val="00053471"/>
    <w:rsid w:val="00053634"/>
    <w:rsid w:val="000537BB"/>
    <w:rsid w:val="000538A1"/>
    <w:rsid w:val="00053F62"/>
    <w:rsid w:val="000541C7"/>
    <w:rsid w:val="00054645"/>
    <w:rsid w:val="000548EB"/>
    <w:rsid w:val="00054BF7"/>
    <w:rsid w:val="0005548D"/>
    <w:rsid w:val="000557ED"/>
    <w:rsid w:val="00055BA0"/>
    <w:rsid w:val="00055E26"/>
    <w:rsid w:val="00055F7D"/>
    <w:rsid w:val="000565A3"/>
    <w:rsid w:val="00056612"/>
    <w:rsid w:val="00056635"/>
    <w:rsid w:val="000567BC"/>
    <w:rsid w:val="000569E0"/>
    <w:rsid w:val="00057588"/>
    <w:rsid w:val="00057640"/>
    <w:rsid w:val="000578A2"/>
    <w:rsid w:val="00060194"/>
    <w:rsid w:val="0006065E"/>
    <w:rsid w:val="0006075A"/>
    <w:rsid w:val="00060769"/>
    <w:rsid w:val="000607A6"/>
    <w:rsid w:val="0006094A"/>
    <w:rsid w:val="00060ABD"/>
    <w:rsid w:val="0006148E"/>
    <w:rsid w:val="000617FF"/>
    <w:rsid w:val="00061BEA"/>
    <w:rsid w:val="00061DC7"/>
    <w:rsid w:val="00061E48"/>
    <w:rsid w:val="00061E67"/>
    <w:rsid w:val="000620FB"/>
    <w:rsid w:val="000621DF"/>
    <w:rsid w:val="00062437"/>
    <w:rsid w:val="00062595"/>
    <w:rsid w:val="0006292D"/>
    <w:rsid w:val="000629AB"/>
    <w:rsid w:val="00062C7C"/>
    <w:rsid w:val="00062E45"/>
    <w:rsid w:val="00062FA3"/>
    <w:rsid w:val="000635F7"/>
    <w:rsid w:val="000639A9"/>
    <w:rsid w:val="00063D28"/>
    <w:rsid w:val="00063FF7"/>
    <w:rsid w:val="000643F7"/>
    <w:rsid w:val="00064404"/>
    <w:rsid w:val="00064521"/>
    <w:rsid w:val="000648FE"/>
    <w:rsid w:val="00064C3D"/>
    <w:rsid w:val="00064C71"/>
    <w:rsid w:val="00064E2A"/>
    <w:rsid w:val="00064E77"/>
    <w:rsid w:val="0006537C"/>
    <w:rsid w:val="00065467"/>
    <w:rsid w:val="000657E2"/>
    <w:rsid w:val="000660E2"/>
    <w:rsid w:val="000660EF"/>
    <w:rsid w:val="000662FB"/>
    <w:rsid w:val="0006665B"/>
    <w:rsid w:val="000673EB"/>
    <w:rsid w:val="00067AB5"/>
    <w:rsid w:val="00067F81"/>
    <w:rsid w:val="00070718"/>
    <w:rsid w:val="0007076D"/>
    <w:rsid w:val="000708D3"/>
    <w:rsid w:val="00071056"/>
    <w:rsid w:val="00071CFD"/>
    <w:rsid w:val="00071EFA"/>
    <w:rsid w:val="000720F5"/>
    <w:rsid w:val="000720F8"/>
    <w:rsid w:val="00072142"/>
    <w:rsid w:val="00072711"/>
    <w:rsid w:val="00072728"/>
    <w:rsid w:val="00072B3F"/>
    <w:rsid w:val="00072BE2"/>
    <w:rsid w:val="000732DF"/>
    <w:rsid w:val="0007358E"/>
    <w:rsid w:val="00073686"/>
    <w:rsid w:val="00073872"/>
    <w:rsid w:val="0007389A"/>
    <w:rsid w:val="00073BDC"/>
    <w:rsid w:val="00073F42"/>
    <w:rsid w:val="00074665"/>
    <w:rsid w:val="000746D5"/>
    <w:rsid w:val="00074709"/>
    <w:rsid w:val="000747B8"/>
    <w:rsid w:val="000749B9"/>
    <w:rsid w:val="00074DC4"/>
    <w:rsid w:val="000755F9"/>
    <w:rsid w:val="00075941"/>
    <w:rsid w:val="00075CB6"/>
    <w:rsid w:val="00075CC6"/>
    <w:rsid w:val="0007614F"/>
    <w:rsid w:val="0007650D"/>
    <w:rsid w:val="00076AAE"/>
    <w:rsid w:val="00076C27"/>
    <w:rsid w:val="0007722A"/>
    <w:rsid w:val="00077534"/>
    <w:rsid w:val="0007754A"/>
    <w:rsid w:val="00077592"/>
    <w:rsid w:val="00077E7D"/>
    <w:rsid w:val="00080263"/>
    <w:rsid w:val="000803AD"/>
    <w:rsid w:val="00080F2D"/>
    <w:rsid w:val="00080F62"/>
    <w:rsid w:val="000811D8"/>
    <w:rsid w:val="000817F5"/>
    <w:rsid w:val="000818DD"/>
    <w:rsid w:val="000818F6"/>
    <w:rsid w:val="000819D4"/>
    <w:rsid w:val="00081D1E"/>
    <w:rsid w:val="000828E6"/>
    <w:rsid w:val="000829B6"/>
    <w:rsid w:val="00082A62"/>
    <w:rsid w:val="00082B49"/>
    <w:rsid w:val="00082E1E"/>
    <w:rsid w:val="000830DA"/>
    <w:rsid w:val="00083173"/>
    <w:rsid w:val="00083429"/>
    <w:rsid w:val="00083FE3"/>
    <w:rsid w:val="000840F4"/>
    <w:rsid w:val="000842FF"/>
    <w:rsid w:val="00084387"/>
    <w:rsid w:val="00084533"/>
    <w:rsid w:val="00084761"/>
    <w:rsid w:val="00084AF6"/>
    <w:rsid w:val="00084E02"/>
    <w:rsid w:val="00084EE6"/>
    <w:rsid w:val="0008506C"/>
    <w:rsid w:val="000850B6"/>
    <w:rsid w:val="0008527C"/>
    <w:rsid w:val="0008545A"/>
    <w:rsid w:val="00085AC2"/>
    <w:rsid w:val="00085AFD"/>
    <w:rsid w:val="00085BC7"/>
    <w:rsid w:val="00085C22"/>
    <w:rsid w:val="00085C51"/>
    <w:rsid w:val="00085E26"/>
    <w:rsid w:val="0008600B"/>
    <w:rsid w:val="0008608E"/>
    <w:rsid w:val="00086154"/>
    <w:rsid w:val="000863FA"/>
    <w:rsid w:val="0008652C"/>
    <w:rsid w:val="000867FF"/>
    <w:rsid w:val="000868F5"/>
    <w:rsid w:val="00086C83"/>
    <w:rsid w:val="00087018"/>
    <w:rsid w:val="000873CD"/>
    <w:rsid w:val="000876FA"/>
    <w:rsid w:val="00087774"/>
    <w:rsid w:val="00087A77"/>
    <w:rsid w:val="00087BB3"/>
    <w:rsid w:val="000900EB"/>
    <w:rsid w:val="0009016A"/>
    <w:rsid w:val="000909B9"/>
    <w:rsid w:val="00090A07"/>
    <w:rsid w:val="00090B9F"/>
    <w:rsid w:val="00090CF8"/>
    <w:rsid w:val="00090D41"/>
    <w:rsid w:val="00090DE6"/>
    <w:rsid w:val="00090E28"/>
    <w:rsid w:val="0009127D"/>
    <w:rsid w:val="000924D4"/>
    <w:rsid w:val="00092503"/>
    <w:rsid w:val="00092C29"/>
    <w:rsid w:val="00092CB9"/>
    <w:rsid w:val="0009396C"/>
    <w:rsid w:val="00093F49"/>
    <w:rsid w:val="00094285"/>
    <w:rsid w:val="00094B3C"/>
    <w:rsid w:val="00094CB4"/>
    <w:rsid w:val="00095213"/>
    <w:rsid w:val="00095ABF"/>
    <w:rsid w:val="00095FCF"/>
    <w:rsid w:val="00096313"/>
    <w:rsid w:val="00096371"/>
    <w:rsid w:val="0009657B"/>
    <w:rsid w:val="00096954"/>
    <w:rsid w:val="00096C13"/>
    <w:rsid w:val="00096D1C"/>
    <w:rsid w:val="00096DB8"/>
    <w:rsid w:val="000972EF"/>
    <w:rsid w:val="000977C6"/>
    <w:rsid w:val="000A01A8"/>
    <w:rsid w:val="000A0378"/>
    <w:rsid w:val="000A0936"/>
    <w:rsid w:val="000A09E7"/>
    <w:rsid w:val="000A0AC7"/>
    <w:rsid w:val="000A0D76"/>
    <w:rsid w:val="000A0E6E"/>
    <w:rsid w:val="000A0FD5"/>
    <w:rsid w:val="000A1070"/>
    <w:rsid w:val="000A123E"/>
    <w:rsid w:val="000A169F"/>
    <w:rsid w:val="000A2640"/>
    <w:rsid w:val="000A27BB"/>
    <w:rsid w:val="000A32BD"/>
    <w:rsid w:val="000A3E31"/>
    <w:rsid w:val="000A3EBA"/>
    <w:rsid w:val="000A4087"/>
    <w:rsid w:val="000A40FD"/>
    <w:rsid w:val="000A4E9A"/>
    <w:rsid w:val="000A52DF"/>
    <w:rsid w:val="000A5314"/>
    <w:rsid w:val="000A5D8F"/>
    <w:rsid w:val="000A5D99"/>
    <w:rsid w:val="000A601F"/>
    <w:rsid w:val="000A63AD"/>
    <w:rsid w:val="000A64FF"/>
    <w:rsid w:val="000A6591"/>
    <w:rsid w:val="000A666A"/>
    <w:rsid w:val="000A677A"/>
    <w:rsid w:val="000A69D2"/>
    <w:rsid w:val="000A77D6"/>
    <w:rsid w:val="000A78EC"/>
    <w:rsid w:val="000A7A4E"/>
    <w:rsid w:val="000A7B77"/>
    <w:rsid w:val="000A7CF9"/>
    <w:rsid w:val="000B01FA"/>
    <w:rsid w:val="000B022B"/>
    <w:rsid w:val="000B02ED"/>
    <w:rsid w:val="000B04F3"/>
    <w:rsid w:val="000B0DCE"/>
    <w:rsid w:val="000B0E69"/>
    <w:rsid w:val="000B1228"/>
    <w:rsid w:val="000B1BA4"/>
    <w:rsid w:val="000B1F20"/>
    <w:rsid w:val="000B1F2B"/>
    <w:rsid w:val="000B27E0"/>
    <w:rsid w:val="000B2A82"/>
    <w:rsid w:val="000B2AAC"/>
    <w:rsid w:val="000B300B"/>
    <w:rsid w:val="000B326F"/>
    <w:rsid w:val="000B32C5"/>
    <w:rsid w:val="000B32E4"/>
    <w:rsid w:val="000B3304"/>
    <w:rsid w:val="000B38EA"/>
    <w:rsid w:val="000B3F89"/>
    <w:rsid w:val="000B51E7"/>
    <w:rsid w:val="000B5484"/>
    <w:rsid w:val="000B56C0"/>
    <w:rsid w:val="000B5984"/>
    <w:rsid w:val="000B5A90"/>
    <w:rsid w:val="000B5B83"/>
    <w:rsid w:val="000B5DC1"/>
    <w:rsid w:val="000B6432"/>
    <w:rsid w:val="000B6575"/>
    <w:rsid w:val="000B6A87"/>
    <w:rsid w:val="000B6C60"/>
    <w:rsid w:val="000B6C6C"/>
    <w:rsid w:val="000B6D0F"/>
    <w:rsid w:val="000B6E6D"/>
    <w:rsid w:val="000B72E0"/>
    <w:rsid w:val="000B7912"/>
    <w:rsid w:val="000B7989"/>
    <w:rsid w:val="000C0226"/>
    <w:rsid w:val="000C076E"/>
    <w:rsid w:val="000C08C6"/>
    <w:rsid w:val="000C099C"/>
    <w:rsid w:val="000C0A6A"/>
    <w:rsid w:val="000C0E86"/>
    <w:rsid w:val="000C0F55"/>
    <w:rsid w:val="000C0FAD"/>
    <w:rsid w:val="000C1043"/>
    <w:rsid w:val="000C1097"/>
    <w:rsid w:val="000C1C3E"/>
    <w:rsid w:val="000C2268"/>
    <w:rsid w:val="000C233C"/>
    <w:rsid w:val="000C25D8"/>
    <w:rsid w:val="000C267B"/>
    <w:rsid w:val="000C2980"/>
    <w:rsid w:val="000C2ADF"/>
    <w:rsid w:val="000C2FB7"/>
    <w:rsid w:val="000C2FE9"/>
    <w:rsid w:val="000C3199"/>
    <w:rsid w:val="000C3279"/>
    <w:rsid w:val="000C35FB"/>
    <w:rsid w:val="000C3630"/>
    <w:rsid w:val="000C3830"/>
    <w:rsid w:val="000C39B4"/>
    <w:rsid w:val="000C3D07"/>
    <w:rsid w:val="000C3DA5"/>
    <w:rsid w:val="000C4457"/>
    <w:rsid w:val="000C4689"/>
    <w:rsid w:val="000C4874"/>
    <w:rsid w:val="000C4D5C"/>
    <w:rsid w:val="000C5202"/>
    <w:rsid w:val="000C53F5"/>
    <w:rsid w:val="000C5564"/>
    <w:rsid w:val="000C5602"/>
    <w:rsid w:val="000C59C4"/>
    <w:rsid w:val="000C5B36"/>
    <w:rsid w:val="000C5F23"/>
    <w:rsid w:val="000C627A"/>
    <w:rsid w:val="000C6B75"/>
    <w:rsid w:val="000C6F05"/>
    <w:rsid w:val="000C71C5"/>
    <w:rsid w:val="000C727A"/>
    <w:rsid w:val="000C7697"/>
    <w:rsid w:val="000C789E"/>
    <w:rsid w:val="000C7B4C"/>
    <w:rsid w:val="000C7C90"/>
    <w:rsid w:val="000C7EF4"/>
    <w:rsid w:val="000D0010"/>
    <w:rsid w:val="000D029C"/>
    <w:rsid w:val="000D072A"/>
    <w:rsid w:val="000D0731"/>
    <w:rsid w:val="000D0BF7"/>
    <w:rsid w:val="000D0CC9"/>
    <w:rsid w:val="000D0F51"/>
    <w:rsid w:val="000D11A3"/>
    <w:rsid w:val="000D1221"/>
    <w:rsid w:val="000D122B"/>
    <w:rsid w:val="000D166C"/>
    <w:rsid w:val="000D1B06"/>
    <w:rsid w:val="000D1E54"/>
    <w:rsid w:val="000D24E2"/>
    <w:rsid w:val="000D2A4A"/>
    <w:rsid w:val="000D2BA7"/>
    <w:rsid w:val="000D3A7C"/>
    <w:rsid w:val="000D3CAE"/>
    <w:rsid w:val="000D4568"/>
    <w:rsid w:val="000D4EE8"/>
    <w:rsid w:val="000D4F36"/>
    <w:rsid w:val="000D4FE9"/>
    <w:rsid w:val="000D5383"/>
    <w:rsid w:val="000D53B8"/>
    <w:rsid w:val="000D5833"/>
    <w:rsid w:val="000D5DD7"/>
    <w:rsid w:val="000D68E4"/>
    <w:rsid w:val="000D70FA"/>
    <w:rsid w:val="000D7279"/>
    <w:rsid w:val="000D7447"/>
    <w:rsid w:val="000D7650"/>
    <w:rsid w:val="000D7679"/>
    <w:rsid w:val="000E0D71"/>
    <w:rsid w:val="000E0FA7"/>
    <w:rsid w:val="000E0FC9"/>
    <w:rsid w:val="000E1054"/>
    <w:rsid w:val="000E1473"/>
    <w:rsid w:val="000E162A"/>
    <w:rsid w:val="000E1722"/>
    <w:rsid w:val="000E177D"/>
    <w:rsid w:val="000E19F0"/>
    <w:rsid w:val="000E1DE0"/>
    <w:rsid w:val="000E1E6F"/>
    <w:rsid w:val="000E2098"/>
    <w:rsid w:val="000E237E"/>
    <w:rsid w:val="000E23BF"/>
    <w:rsid w:val="000E23EF"/>
    <w:rsid w:val="000E25C3"/>
    <w:rsid w:val="000E29F4"/>
    <w:rsid w:val="000E2BE0"/>
    <w:rsid w:val="000E2E1B"/>
    <w:rsid w:val="000E327D"/>
    <w:rsid w:val="000E32BE"/>
    <w:rsid w:val="000E32CD"/>
    <w:rsid w:val="000E33C5"/>
    <w:rsid w:val="000E3886"/>
    <w:rsid w:val="000E3CFC"/>
    <w:rsid w:val="000E40CB"/>
    <w:rsid w:val="000E420F"/>
    <w:rsid w:val="000E44A9"/>
    <w:rsid w:val="000E4A6D"/>
    <w:rsid w:val="000E4A78"/>
    <w:rsid w:val="000E5429"/>
    <w:rsid w:val="000E5AEC"/>
    <w:rsid w:val="000E62CE"/>
    <w:rsid w:val="000E63BC"/>
    <w:rsid w:val="000E6444"/>
    <w:rsid w:val="000E649F"/>
    <w:rsid w:val="000E6514"/>
    <w:rsid w:val="000E6560"/>
    <w:rsid w:val="000E66DF"/>
    <w:rsid w:val="000E6B08"/>
    <w:rsid w:val="000E6B42"/>
    <w:rsid w:val="000E6E1E"/>
    <w:rsid w:val="000E6FD2"/>
    <w:rsid w:val="000E70A5"/>
    <w:rsid w:val="000E7523"/>
    <w:rsid w:val="000E78BC"/>
    <w:rsid w:val="000E7D1F"/>
    <w:rsid w:val="000E7F42"/>
    <w:rsid w:val="000F039B"/>
    <w:rsid w:val="000F0888"/>
    <w:rsid w:val="000F0DEA"/>
    <w:rsid w:val="000F0DFE"/>
    <w:rsid w:val="000F10FF"/>
    <w:rsid w:val="000F1394"/>
    <w:rsid w:val="000F1519"/>
    <w:rsid w:val="000F1522"/>
    <w:rsid w:val="000F18A3"/>
    <w:rsid w:val="000F19CA"/>
    <w:rsid w:val="000F1A51"/>
    <w:rsid w:val="000F1CEF"/>
    <w:rsid w:val="000F25EE"/>
    <w:rsid w:val="000F269A"/>
    <w:rsid w:val="000F26C0"/>
    <w:rsid w:val="000F2873"/>
    <w:rsid w:val="000F2BE7"/>
    <w:rsid w:val="000F2E67"/>
    <w:rsid w:val="000F2FB2"/>
    <w:rsid w:val="000F32AC"/>
    <w:rsid w:val="000F370D"/>
    <w:rsid w:val="000F374B"/>
    <w:rsid w:val="000F3E1E"/>
    <w:rsid w:val="000F4248"/>
    <w:rsid w:val="000F43D3"/>
    <w:rsid w:val="000F4698"/>
    <w:rsid w:val="000F4D00"/>
    <w:rsid w:val="000F4FE7"/>
    <w:rsid w:val="000F56D9"/>
    <w:rsid w:val="000F585A"/>
    <w:rsid w:val="000F5E41"/>
    <w:rsid w:val="000F5EC4"/>
    <w:rsid w:val="000F6161"/>
    <w:rsid w:val="000F6B2D"/>
    <w:rsid w:val="000F72FC"/>
    <w:rsid w:val="000F7AD5"/>
    <w:rsid w:val="000F7CB4"/>
    <w:rsid w:val="000F7F64"/>
    <w:rsid w:val="000F7FAE"/>
    <w:rsid w:val="00100058"/>
    <w:rsid w:val="00100268"/>
    <w:rsid w:val="00100374"/>
    <w:rsid w:val="00100472"/>
    <w:rsid w:val="00100B0C"/>
    <w:rsid w:val="00100E46"/>
    <w:rsid w:val="00101A55"/>
    <w:rsid w:val="00101F21"/>
    <w:rsid w:val="0010203F"/>
    <w:rsid w:val="001028DF"/>
    <w:rsid w:val="00102988"/>
    <w:rsid w:val="00102AF2"/>
    <w:rsid w:val="00102B37"/>
    <w:rsid w:val="00102E12"/>
    <w:rsid w:val="001030AE"/>
    <w:rsid w:val="0010327A"/>
    <w:rsid w:val="0010332C"/>
    <w:rsid w:val="00103356"/>
    <w:rsid w:val="001033EA"/>
    <w:rsid w:val="00103433"/>
    <w:rsid w:val="001035FC"/>
    <w:rsid w:val="00103740"/>
    <w:rsid w:val="00103A48"/>
    <w:rsid w:val="00104168"/>
    <w:rsid w:val="00104E68"/>
    <w:rsid w:val="00104EC6"/>
    <w:rsid w:val="00105205"/>
    <w:rsid w:val="00105774"/>
    <w:rsid w:val="00105B08"/>
    <w:rsid w:val="00105DD1"/>
    <w:rsid w:val="00105DF5"/>
    <w:rsid w:val="0010607E"/>
    <w:rsid w:val="001061CA"/>
    <w:rsid w:val="0010637F"/>
    <w:rsid w:val="0010642A"/>
    <w:rsid w:val="0010687A"/>
    <w:rsid w:val="00106AA3"/>
    <w:rsid w:val="00107126"/>
    <w:rsid w:val="001075A8"/>
    <w:rsid w:val="00107963"/>
    <w:rsid w:val="001079C3"/>
    <w:rsid w:val="00107B24"/>
    <w:rsid w:val="0011015B"/>
    <w:rsid w:val="00110856"/>
    <w:rsid w:val="00111252"/>
    <w:rsid w:val="001112CB"/>
    <w:rsid w:val="00111347"/>
    <w:rsid w:val="00111823"/>
    <w:rsid w:val="00111A2F"/>
    <w:rsid w:val="00111ADD"/>
    <w:rsid w:val="00111C53"/>
    <w:rsid w:val="00111D49"/>
    <w:rsid w:val="001124E6"/>
    <w:rsid w:val="00112A83"/>
    <w:rsid w:val="00112FD6"/>
    <w:rsid w:val="00113969"/>
    <w:rsid w:val="00113BA8"/>
    <w:rsid w:val="00113BDB"/>
    <w:rsid w:val="00113E20"/>
    <w:rsid w:val="00113E61"/>
    <w:rsid w:val="00113EC4"/>
    <w:rsid w:val="00113F0D"/>
    <w:rsid w:val="00114045"/>
    <w:rsid w:val="001143AE"/>
    <w:rsid w:val="001143D0"/>
    <w:rsid w:val="001146BF"/>
    <w:rsid w:val="001148C3"/>
    <w:rsid w:val="001148D3"/>
    <w:rsid w:val="00115007"/>
    <w:rsid w:val="0011562D"/>
    <w:rsid w:val="001156D5"/>
    <w:rsid w:val="00115FA8"/>
    <w:rsid w:val="001161BD"/>
    <w:rsid w:val="00116DD5"/>
    <w:rsid w:val="00117309"/>
    <w:rsid w:val="00117369"/>
    <w:rsid w:val="00117AF1"/>
    <w:rsid w:val="00117BB0"/>
    <w:rsid w:val="0012011D"/>
    <w:rsid w:val="001202DD"/>
    <w:rsid w:val="00120457"/>
    <w:rsid w:val="00120D7F"/>
    <w:rsid w:val="00120F89"/>
    <w:rsid w:val="00121177"/>
    <w:rsid w:val="00121403"/>
    <w:rsid w:val="001216FA"/>
    <w:rsid w:val="00121F1E"/>
    <w:rsid w:val="001221F8"/>
    <w:rsid w:val="001224C8"/>
    <w:rsid w:val="00122912"/>
    <w:rsid w:val="00122976"/>
    <w:rsid w:val="00122E6B"/>
    <w:rsid w:val="0012380F"/>
    <w:rsid w:val="00123A77"/>
    <w:rsid w:val="00124185"/>
    <w:rsid w:val="001248B9"/>
    <w:rsid w:val="001249B2"/>
    <w:rsid w:val="001254C6"/>
    <w:rsid w:val="0012560D"/>
    <w:rsid w:val="00125651"/>
    <w:rsid w:val="00125896"/>
    <w:rsid w:val="00125958"/>
    <w:rsid w:val="00125AC1"/>
    <w:rsid w:val="00125C51"/>
    <w:rsid w:val="00125D56"/>
    <w:rsid w:val="00125FC1"/>
    <w:rsid w:val="001261E2"/>
    <w:rsid w:val="00126235"/>
    <w:rsid w:val="001267F9"/>
    <w:rsid w:val="00126876"/>
    <w:rsid w:val="001273DA"/>
    <w:rsid w:val="00127802"/>
    <w:rsid w:val="00127A4D"/>
    <w:rsid w:val="00127BE9"/>
    <w:rsid w:val="00127CCE"/>
    <w:rsid w:val="00127FE5"/>
    <w:rsid w:val="0013060B"/>
    <w:rsid w:val="0013061F"/>
    <w:rsid w:val="001306A7"/>
    <w:rsid w:val="00130C73"/>
    <w:rsid w:val="00131084"/>
    <w:rsid w:val="0013114E"/>
    <w:rsid w:val="00131239"/>
    <w:rsid w:val="001315D4"/>
    <w:rsid w:val="001315EA"/>
    <w:rsid w:val="0013171C"/>
    <w:rsid w:val="001319AE"/>
    <w:rsid w:val="00131F5F"/>
    <w:rsid w:val="00132098"/>
    <w:rsid w:val="0013239A"/>
    <w:rsid w:val="00132674"/>
    <w:rsid w:val="00132A09"/>
    <w:rsid w:val="00132D0E"/>
    <w:rsid w:val="00132F27"/>
    <w:rsid w:val="001334D9"/>
    <w:rsid w:val="0013352E"/>
    <w:rsid w:val="001335FA"/>
    <w:rsid w:val="0013399B"/>
    <w:rsid w:val="00133C5F"/>
    <w:rsid w:val="0013455F"/>
    <w:rsid w:val="00135207"/>
    <w:rsid w:val="00135722"/>
    <w:rsid w:val="001358CD"/>
    <w:rsid w:val="00135D93"/>
    <w:rsid w:val="00135EC9"/>
    <w:rsid w:val="00136B3B"/>
    <w:rsid w:val="00136C10"/>
    <w:rsid w:val="001370C1"/>
    <w:rsid w:val="001376AE"/>
    <w:rsid w:val="00137940"/>
    <w:rsid w:val="00137B50"/>
    <w:rsid w:val="00137FEB"/>
    <w:rsid w:val="001402C7"/>
    <w:rsid w:val="0014041C"/>
    <w:rsid w:val="001404E5"/>
    <w:rsid w:val="00140552"/>
    <w:rsid w:val="00140776"/>
    <w:rsid w:val="00140F9A"/>
    <w:rsid w:val="00140FBC"/>
    <w:rsid w:val="0014144B"/>
    <w:rsid w:val="001419EF"/>
    <w:rsid w:val="00141A37"/>
    <w:rsid w:val="00141B4A"/>
    <w:rsid w:val="00141C42"/>
    <w:rsid w:val="00141DAE"/>
    <w:rsid w:val="0014201A"/>
    <w:rsid w:val="001421E4"/>
    <w:rsid w:val="00142F44"/>
    <w:rsid w:val="00143151"/>
    <w:rsid w:val="001431DB"/>
    <w:rsid w:val="001432CD"/>
    <w:rsid w:val="001433EC"/>
    <w:rsid w:val="0014357F"/>
    <w:rsid w:val="00143799"/>
    <w:rsid w:val="001439E8"/>
    <w:rsid w:val="00143A28"/>
    <w:rsid w:val="00143A49"/>
    <w:rsid w:val="00143C18"/>
    <w:rsid w:val="00143D93"/>
    <w:rsid w:val="001440DD"/>
    <w:rsid w:val="00144402"/>
    <w:rsid w:val="001448EF"/>
    <w:rsid w:val="00144B75"/>
    <w:rsid w:val="00144DF8"/>
    <w:rsid w:val="00145A1D"/>
    <w:rsid w:val="001463B3"/>
    <w:rsid w:val="00147253"/>
    <w:rsid w:val="0014748A"/>
    <w:rsid w:val="00147559"/>
    <w:rsid w:val="001478BA"/>
    <w:rsid w:val="00147C81"/>
    <w:rsid w:val="00147CF6"/>
    <w:rsid w:val="00150180"/>
    <w:rsid w:val="001504F9"/>
    <w:rsid w:val="00150FA3"/>
    <w:rsid w:val="001511A4"/>
    <w:rsid w:val="0015128D"/>
    <w:rsid w:val="00151343"/>
    <w:rsid w:val="001516DB"/>
    <w:rsid w:val="001518E6"/>
    <w:rsid w:val="00151BB3"/>
    <w:rsid w:val="00152081"/>
    <w:rsid w:val="00152CFF"/>
    <w:rsid w:val="00152E56"/>
    <w:rsid w:val="001532E5"/>
    <w:rsid w:val="0015386C"/>
    <w:rsid w:val="001538D3"/>
    <w:rsid w:val="00153A3C"/>
    <w:rsid w:val="00153B24"/>
    <w:rsid w:val="0015413F"/>
    <w:rsid w:val="001546B2"/>
    <w:rsid w:val="00154850"/>
    <w:rsid w:val="0015485C"/>
    <w:rsid w:val="00154B63"/>
    <w:rsid w:val="00154BB5"/>
    <w:rsid w:val="00154CB3"/>
    <w:rsid w:val="00155117"/>
    <w:rsid w:val="001555D0"/>
    <w:rsid w:val="001559AA"/>
    <w:rsid w:val="00155B56"/>
    <w:rsid w:val="00156390"/>
    <w:rsid w:val="00156C7D"/>
    <w:rsid w:val="00156D13"/>
    <w:rsid w:val="00156FFE"/>
    <w:rsid w:val="00157260"/>
    <w:rsid w:val="001575D8"/>
    <w:rsid w:val="00157664"/>
    <w:rsid w:val="001600DF"/>
    <w:rsid w:val="00160180"/>
    <w:rsid w:val="00160503"/>
    <w:rsid w:val="00160640"/>
    <w:rsid w:val="00161148"/>
    <w:rsid w:val="001611C8"/>
    <w:rsid w:val="00161230"/>
    <w:rsid w:val="00161444"/>
    <w:rsid w:val="0016149C"/>
    <w:rsid w:val="001614D8"/>
    <w:rsid w:val="00161A69"/>
    <w:rsid w:val="00161AEE"/>
    <w:rsid w:val="00161BFF"/>
    <w:rsid w:val="00161EB3"/>
    <w:rsid w:val="00162056"/>
    <w:rsid w:val="001622D3"/>
    <w:rsid w:val="00162387"/>
    <w:rsid w:val="00162BAC"/>
    <w:rsid w:val="00162C0B"/>
    <w:rsid w:val="0016323D"/>
    <w:rsid w:val="001632FB"/>
    <w:rsid w:val="0016343C"/>
    <w:rsid w:val="00163540"/>
    <w:rsid w:val="00163B9C"/>
    <w:rsid w:val="0016426C"/>
    <w:rsid w:val="001645B6"/>
    <w:rsid w:val="00164938"/>
    <w:rsid w:val="00164DAA"/>
    <w:rsid w:val="001652F4"/>
    <w:rsid w:val="00165947"/>
    <w:rsid w:val="00165C76"/>
    <w:rsid w:val="00165E0A"/>
    <w:rsid w:val="001661D3"/>
    <w:rsid w:val="00166288"/>
    <w:rsid w:val="00166316"/>
    <w:rsid w:val="00166319"/>
    <w:rsid w:val="001664CA"/>
    <w:rsid w:val="001671CF"/>
    <w:rsid w:val="0016765F"/>
    <w:rsid w:val="00167687"/>
    <w:rsid w:val="00167757"/>
    <w:rsid w:val="00167891"/>
    <w:rsid w:val="00167A7F"/>
    <w:rsid w:val="00167A99"/>
    <w:rsid w:val="00167FAA"/>
    <w:rsid w:val="00167FBE"/>
    <w:rsid w:val="00167FDD"/>
    <w:rsid w:val="001703A0"/>
    <w:rsid w:val="001706EF"/>
    <w:rsid w:val="00170967"/>
    <w:rsid w:val="00170991"/>
    <w:rsid w:val="00170A4B"/>
    <w:rsid w:val="00170E15"/>
    <w:rsid w:val="00170E23"/>
    <w:rsid w:val="00170E70"/>
    <w:rsid w:val="00171359"/>
    <w:rsid w:val="001714BB"/>
    <w:rsid w:val="00171517"/>
    <w:rsid w:val="0017188E"/>
    <w:rsid w:val="00171C7A"/>
    <w:rsid w:val="001725A8"/>
    <w:rsid w:val="0017294B"/>
    <w:rsid w:val="00172D8E"/>
    <w:rsid w:val="00172E48"/>
    <w:rsid w:val="00173151"/>
    <w:rsid w:val="0017341A"/>
    <w:rsid w:val="0017464D"/>
    <w:rsid w:val="001747FB"/>
    <w:rsid w:val="00174879"/>
    <w:rsid w:val="0017489B"/>
    <w:rsid w:val="00174AD0"/>
    <w:rsid w:val="00174B36"/>
    <w:rsid w:val="00174D35"/>
    <w:rsid w:val="00174F8E"/>
    <w:rsid w:val="0017508C"/>
    <w:rsid w:val="00175120"/>
    <w:rsid w:val="00175364"/>
    <w:rsid w:val="00175897"/>
    <w:rsid w:val="00175B59"/>
    <w:rsid w:val="00175DBA"/>
    <w:rsid w:val="00175FBA"/>
    <w:rsid w:val="0017600F"/>
    <w:rsid w:val="00176C70"/>
    <w:rsid w:val="00176C84"/>
    <w:rsid w:val="00176F23"/>
    <w:rsid w:val="001770F1"/>
    <w:rsid w:val="001772A7"/>
    <w:rsid w:val="001777A8"/>
    <w:rsid w:val="0018016F"/>
    <w:rsid w:val="00180464"/>
    <w:rsid w:val="0018068D"/>
    <w:rsid w:val="00180A46"/>
    <w:rsid w:val="00180B2A"/>
    <w:rsid w:val="00180B4B"/>
    <w:rsid w:val="00180F58"/>
    <w:rsid w:val="00181180"/>
    <w:rsid w:val="0018133F"/>
    <w:rsid w:val="00181410"/>
    <w:rsid w:val="00181555"/>
    <w:rsid w:val="001819F0"/>
    <w:rsid w:val="00181A1C"/>
    <w:rsid w:val="00181FED"/>
    <w:rsid w:val="00182103"/>
    <w:rsid w:val="001823B9"/>
    <w:rsid w:val="0018264E"/>
    <w:rsid w:val="00182A18"/>
    <w:rsid w:val="00182B9D"/>
    <w:rsid w:val="00182BB8"/>
    <w:rsid w:val="00182BBE"/>
    <w:rsid w:val="00182CF7"/>
    <w:rsid w:val="001834C4"/>
    <w:rsid w:val="001836BE"/>
    <w:rsid w:val="00183ACA"/>
    <w:rsid w:val="0018434D"/>
    <w:rsid w:val="00184632"/>
    <w:rsid w:val="00184694"/>
    <w:rsid w:val="001847E1"/>
    <w:rsid w:val="00184B06"/>
    <w:rsid w:val="00184CB4"/>
    <w:rsid w:val="00185048"/>
    <w:rsid w:val="00185259"/>
    <w:rsid w:val="001852D0"/>
    <w:rsid w:val="00185391"/>
    <w:rsid w:val="001857BC"/>
    <w:rsid w:val="00185A49"/>
    <w:rsid w:val="00185DBD"/>
    <w:rsid w:val="00185DEC"/>
    <w:rsid w:val="00185F1A"/>
    <w:rsid w:val="00186029"/>
    <w:rsid w:val="0018615D"/>
    <w:rsid w:val="001871F1"/>
    <w:rsid w:val="00187683"/>
    <w:rsid w:val="0018768D"/>
    <w:rsid w:val="00187799"/>
    <w:rsid w:val="00187F03"/>
    <w:rsid w:val="00190077"/>
    <w:rsid w:val="00190333"/>
    <w:rsid w:val="00190420"/>
    <w:rsid w:val="001906DB"/>
    <w:rsid w:val="0019079B"/>
    <w:rsid w:val="00190AF4"/>
    <w:rsid w:val="00190C98"/>
    <w:rsid w:val="00190FC2"/>
    <w:rsid w:val="001910F4"/>
    <w:rsid w:val="00191237"/>
    <w:rsid w:val="0019150C"/>
    <w:rsid w:val="00191515"/>
    <w:rsid w:val="00192293"/>
    <w:rsid w:val="00192674"/>
    <w:rsid w:val="001927F0"/>
    <w:rsid w:val="00192880"/>
    <w:rsid w:val="00192E96"/>
    <w:rsid w:val="00192F98"/>
    <w:rsid w:val="00193989"/>
    <w:rsid w:val="00193A14"/>
    <w:rsid w:val="00193A4B"/>
    <w:rsid w:val="00193CF7"/>
    <w:rsid w:val="00193D54"/>
    <w:rsid w:val="00194384"/>
    <w:rsid w:val="001949C7"/>
    <w:rsid w:val="00194DAF"/>
    <w:rsid w:val="00195940"/>
    <w:rsid w:val="001959D9"/>
    <w:rsid w:val="001959E9"/>
    <w:rsid w:val="00195CAE"/>
    <w:rsid w:val="00195F15"/>
    <w:rsid w:val="00195FF2"/>
    <w:rsid w:val="001962DE"/>
    <w:rsid w:val="001967B2"/>
    <w:rsid w:val="0019686B"/>
    <w:rsid w:val="001969C1"/>
    <w:rsid w:val="00196C94"/>
    <w:rsid w:val="00196CD3"/>
    <w:rsid w:val="00196D70"/>
    <w:rsid w:val="001971CB"/>
    <w:rsid w:val="0019720C"/>
    <w:rsid w:val="001977AD"/>
    <w:rsid w:val="00197AD3"/>
    <w:rsid w:val="00197EDB"/>
    <w:rsid w:val="001A047F"/>
    <w:rsid w:val="001A0668"/>
    <w:rsid w:val="001A0973"/>
    <w:rsid w:val="001A0AF9"/>
    <w:rsid w:val="001A0D3B"/>
    <w:rsid w:val="001A11E5"/>
    <w:rsid w:val="001A13B6"/>
    <w:rsid w:val="001A14D5"/>
    <w:rsid w:val="001A19E6"/>
    <w:rsid w:val="001A20C6"/>
    <w:rsid w:val="001A21C1"/>
    <w:rsid w:val="001A22C1"/>
    <w:rsid w:val="001A238D"/>
    <w:rsid w:val="001A2616"/>
    <w:rsid w:val="001A28FB"/>
    <w:rsid w:val="001A2902"/>
    <w:rsid w:val="001A3131"/>
    <w:rsid w:val="001A3344"/>
    <w:rsid w:val="001A34D7"/>
    <w:rsid w:val="001A3A0A"/>
    <w:rsid w:val="001A3AEB"/>
    <w:rsid w:val="001A3B71"/>
    <w:rsid w:val="001A3F3F"/>
    <w:rsid w:val="001A4067"/>
    <w:rsid w:val="001A41BF"/>
    <w:rsid w:val="001A4296"/>
    <w:rsid w:val="001A435E"/>
    <w:rsid w:val="001A43C7"/>
    <w:rsid w:val="001A4D76"/>
    <w:rsid w:val="001A5199"/>
    <w:rsid w:val="001A535E"/>
    <w:rsid w:val="001A57C1"/>
    <w:rsid w:val="001A5AF8"/>
    <w:rsid w:val="001A5AFA"/>
    <w:rsid w:val="001A6D60"/>
    <w:rsid w:val="001A7AAD"/>
    <w:rsid w:val="001B000F"/>
    <w:rsid w:val="001B0139"/>
    <w:rsid w:val="001B01CB"/>
    <w:rsid w:val="001B0549"/>
    <w:rsid w:val="001B065E"/>
    <w:rsid w:val="001B07B9"/>
    <w:rsid w:val="001B0ADE"/>
    <w:rsid w:val="001B10B4"/>
    <w:rsid w:val="001B12CC"/>
    <w:rsid w:val="001B12FD"/>
    <w:rsid w:val="001B1426"/>
    <w:rsid w:val="001B15BA"/>
    <w:rsid w:val="001B1981"/>
    <w:rsid w:val="001B1A43"/>
    <w:rsid w:val="001B20F5"/>
    <w:rsid w:val="001B28C7"/>
    <w:rsid w:val="001B2A8B"/>
    <w:rsid w:val="001B30BD"/>
    <w:rsid w:val="001B3221"/>
    <w:rsid w:val="001B3436"/>
    <w:rsid w:val="001B3775"/>
    <w:rsid w:val="001B3AD8"/>
    <w:rsid w:val="001B3C8F"/>
    <w:rsid w:val="001B3F06"/>
    <w:rsid w:val="001B40D4"/>
    <w:rsid w:val="001B4695"/>
    <w:rsid w:val="001B4A39"/>
    <w:rsid w:val="001B5273"/>
    <w:rsid w:val="001B52C9"/>
    <w:rsid w:val="001B5337"/>
    <w:rsid w:val="001B53BC"/>
    <w:rsid w:val="001B55A0"/>
    <w:rsid w:val="001B57BC"/>
    <w:rsid w:val="001B5879"/>
    <w:rsid w:val="001B599E"/>
    <w:rsid w:val="001B5A78"/>
    <w:rsid w:val="001B5CAF"/>
    <w:rsid w:val="001B5FFF"/>
    <w:rsid w:val="001B6B0B"/>
    <w:rsid w:val="001B73FD"/>
    <w:rsid w:val="001B7625"/>
    <w:rsid w:val="001B7735"/>
    <w:rsid w:val="001B7805"/>
    <w:rsid w:val="001B7B68"/>
    <w:rsid w:val="001C0599"/>
    <w:rsid w:val="001C061E"/>
    <w:rsid w:val="001C0F4B"/>
    <w:rsid w:val="001C0FBC"/>
    <w:rsid w:val="001C129F"/>
    <w:rsid w:val="001C1456"/>
    <w:rsid w:val="001C1A89"/>
    <w:rsid w:val="001C1C33"/>
    <w:rsid w:val="001C1F72"/>
    <w:rsid w:val="001C218A"/>
    <w:rsid w:val="001C2213"/>
    <w:rsid w:val="001C2C8A"/>
    <w:rsid w:val="001C2E71"/>
    <w:rsid w:val="001C39C5"/>
    <w:rsid w:val="001C3E5B"/>
    <w:rsid w:val="001C4BB1"/>
    <w:rsid w:val="001C4C37"/>
    <w:rsid w:val="001C51E1"/>
    <w:rsid w:val="001C5236"/>
    <w:rsid w:val="001C531F"/>
    <w:rsid w:val="001C5946"/>
    <w:rsid w:val="001C5F64"/>
    <w:rsid w:val="001C6181"/>
    <w:rsid w:val="001C6347"/>
    <w:rsid w:val="001C66F6"/>
    <w:rsid w:val="001C68A3"/>
    <w:rsid w:val="001C736C"/>
    <w:rsid w:val="001C78BB"/>
    <w:rsid w:val="001D0175"/>
    <w:rsid w:val="001D01F2"/>
    <w:rsid w:val="001D07C1"/>
    <w:rsid w:val="001D0D4A"/>
    <w:rsid w:val="001D0DC3"/>
    <w:rsid w:val="001D1045"/>
    <w:rsid w:val="001D1334"/>
    <w:rsid w:val="001D1E4C"/>
    <w:rsid w:val="001D2416"/>
    <w:rsid w:val="001D2592"/>
    <w:rsid w:val="001D26FF"/>
    <w:rsid w:val="001D28AD"/>
    <w:rsid w:val="001D2C5F"/>
    <w:rsid w:val="001D3155"/>
    <w:rsid w:val="001D338D"/>
    <w:rsid w:val="001D35C0"/>
    <w:rsid w:val="001D3A08"/>
    <w:rsid w:val="001D407C"/>
    <w:rsid w:val="001D4279"/>
    <w:rsid w:val="001D447C"/>
    <w:rsid w:val="001D4545"/>
    <w:rsid w:val="001D47E9"/>
    <w:rsid w:val="001D4AD4"/>
    <w:rsid w:val="001D4E3C"/>
    <w:rsid w:val="001D5006"/>
    <w:rsid w:val="001D58AB"/>
    <w:rsid w:val="001D5AAC"/>
    <w:rsid w:val="001D5E51"/>
    <w:rsid w:val="001D60B6"/>
    <w:rsid w:val="001D658F"/>
    <w:rsid w:val="001D6B45"/>
    <w:rsid w:val="001D6D41"/>
    <w:rsid w:val="001D7348"/>
    <w:rsid w:val="001D744B"/>
    <w:rsid w:val="001E0022"/>
    <w:rsid w:val="001E0205"/>
    <w:rsid w:val="001E0395"/>
    <w:rsid w:val="001E079A"/>
    <w:rsid w:val="001E081F"/>
    <w:rsid w:val="001E08DA"/>
    <w:rsid w:val="001E0984"/>
    <w:rsid w:val="001E0EDB"/>
    <w:rsid w:val="001E15E8"/>
    <w:rsid w:val="001E1B40"/>
    <w:rsid w:val="001E2035"/>
    <w:rsid w:val="001E204F"/>
    <w:rsid w:val="001E24EA"/>
    <w:rsid w:val="001E2F57"/>
    <w:rsid w:val="001E2FF1"/>
    <w:rsid w:val="001E3A96"/>
    <w:rsid w:val="001E40AF"/>
    <w:rsid w:val="001E40EC"/>
    <w:rsid w:val="001E4755"/>
    <w:rsid w:val="001E4804"/>
    <w:rsid w:val="001E4A55"/>
    <w:rsid w:val="001E4F16"/>
    <w:rsid w:val="001E4F73"/>
    <w:rsid w:val="001E51CC"/>
    <w:rsid w:val="001E51F7"/>
    <w:rsid w:val="001E531B"/>
    <w:rsid w:val="001E54C0"/>
    <w:rsid w:val="001E551F"/>
    <w:rsid w:val="001E5A07"/>
    <w:rsid w:val="001E5D07"/>
    <w:rsid w:val="001E5DAC"/>
    <w:rsid w:val="001E5FEE"/>
    <w:rsid w:val="001E6089"/>
    <w:rsid w:val="001E65CF"/>
    <w:rsid w:val="001E67C4"/>
    <w:rsid w:val="001E6BA2"/>
    <w:rsid w:val="001E6C58"/>
    <w:rsid w:val="001E71F0"/>
    <w:rsid w:val="001E7779"/>
    <w:rsid w:val="001E779F"/>
    <w:rsid w:val="001E79F6"/>
    <w:rsid w:val="001F0235"/>
    <w:rsid w:val="001F0698"/>
    <w:rsid w:val="001F0858"/>
    <w:rsid w:val="001F0E0C"/>
    <w:rsid w:val="001F142B"/>
    <w:rsid w:val="001F1597"/>
    <w:rsid w:val="001F18EF"/>
    <w:rsid w:val="001F1ABF"/>
    <w:rsid w:val="001F1DAA"/>
    <w:rsid w:val="001F21EC"/>
    <w:rsid w:val="001F2D9C"/>
    <w:rsid w:val="001F3366"/>
    <w:rsid w:val="001F352E"/>
    <w:rsid w:val="001F38D3"/>
    <w:rsid w:val="001F3E5A"/>
    <w:rsid w:val="001F3E90"/>
    <w:rsid w:val="001F3EF9"/>
    <w:rsid w:val="001F4A9D"/>
    <w:rsid w:val="001F53EF"/>
    <w:rsid w:val="001F5476"/>
    <w:rsid w:val="001F573B"/>
    <w:rsid w:val="001F5C37"/>
    <w:rsid w:val="001F5EA0"/>
    <w:rsid w:val="001F601A"/>
    <w:rsid w:val="001F60A2"/>
    <w:rsid w:val="001F6302"/>
    <w:rsid w:val="001F6450"/>
    <w:rsid w:val="001F64D7"/>
    <w:rsid w:val="001F66D3"/>
    <w:rsid w:val="001F6ADA"/>
    <w:rsid w:val="001F7077"/>
    <w:rsid w:val="001F70B7"/>
    <w:rsid w:val="001F7132"/>
    <w:rsid w:val="001F71F0"/>
    <w:rsid w:val="001F7282"/>
    <w:rsid w:val="001F7D1B"/>
    <w:rsid w:val="001F7F23"/>
    <w:rsid w:val="002000EB"/>
    <w:rsid w:val="00200225"/>
    <w:rsid w:val="002005D8"/>
    <w:rsid w:val="002005F7"/>
    <w:rsid w:val="0020090F"/>
    <w:rsid w:val="00200A45"/>
    <w:rsid w:val="00200C03"/>
    <w:rsid w:val="00200EAC"/>
    <w:rsid w:val="0020169C"/>
    <w:rsid w:val="0020172C"/>
    <w:rsid w:val="00201938"/>
    <w:rsid w:val="00201D2E"/>
    <w:rsid w:val="002023EE"/>
    <w:rsid w:val="00202CA6"/>
    <w:rsid w:val="00202FBE"/>
    <w:rsid w:val="00203209"/>
    <w:rsid w:val="00203412"/>
    <w:rsid w:val="002034BA"/>
    <w:rsid w:val="0020368C"/>
    <w:rsid w:val="002039D7"/>
    <w:rsid w:val="00203B8B"/>
    <w:rsid w:val="00203C61"/>
    <w:rsid w:val="00203FD3"/>
    <w:rsid w:val="002041C4"/>
    <w:rsid w:val="00204871"/>
    <w:rsid w:val="00204C24"/>
    <w:rsid w:val="00204C6A"/>
    <w:rsid w:val="00205454"/>
    <w:rsid w:val="002057AA"/>
    <w:rsid w:val="00205C76"/>
    <w:rsid w:val="002063D1"/>
    <w:rsid w:val="002068C9"/>
    <w:rsid w:val="00206BBF"/>
    <w:rsid w:val="00206E6F"/>
    <w:rsid w:val="00207188"/>
    <w:rsid w:val="002073C2"/>
    <w:rsid w:val="0020766F"/>
    <w:rsid w:val="00207BEA"/>
    <w:rsid w:val="00207EF4"/>
    <w:rsid w:val="00210DD3"/>
    <w:rsid w:val="00211045"/>
    <w:rsid w:val="00211448"/>
    <w:rsid w:val="00211886"/>
    <w:rsid w:val="00211EC0"/>
    <w:rsid w:val="00211EF1"/>
    <w:rsid w:val="0021228E"/>
    <w:rsid w:val="002123A2"/>
    <w:rsid w:val="00212661"/>
    <w:rsid w:val="0021274C"/>
    <w:rsid w:val="0021357B"/>
    <w:rsid w:val="002142A5"/>
    <w:rsid w:val="0021442F"/>
    <w:rsid w:val="00214777"/>
    <w:rsid w:val="00214855"/>
    <w:rsid w:val="00215050"/>
    <w:rsid w:val="002150D5"/>
    <w:rsid w:val="00215176"/>
    <w:rsid w:val="00215554"/>
    <w:rsid w:val="00215588"/>
    <w:rsid w:val="00215733"/>
    <w:rsid w:val="0021595C"/>
    <w:rsid w:val="00215B3C"/>
    <w:rsid w:val="00215E1F"/>
    <w:rsid w:val="00215FC4"/>
    <w:rsid w:val="002161F6"/>
    <w:rsid w:val="00216273"/>
    <w:rsid w:val="002165F4"/>
    <w:rsid w:val="00217777"/>
    <w:rsid w:val="002177DD"/>
    <w:rsid w:val="00217C10"/>
    <w:rsid w:val="00217F9A"/>
    <w:rsid w:val="002210D5"/>
    <w:rsid w:val="00221BAA"/>
    <w:rsid w:val="00221EF9"/>
    <w:rsid w:val="002222B9"/>
    <w:rsid w:val="002227FF"/>
    <w:rsid w:val="0022293C"/>
    <w:rsid w:val="00222B53"/>
    <w:rsid w:val="002230A9"/>
    <w:rsid w:val="00223A96"/>
    <w:rsid w:val="00223EEC"/>
    <w:rsid w:val="0022404C"/>
    <w:rsid w:val="002244F6"/>
    <w:rsid w:val="002244FD"/>
    <w:rsid w:val="0022476B"/>
    <w:rsid w:val="00224933"/>
    <w:rsid w:val="00224A5E"/>
    <w:rsid w:val="00224BE7"/>
    <w:rsid w:val="00224DC1"/>
    <w:rsid w:val="00224E8B"/>
    <w:rsid w:val="00225129"/>
    <w:rsid w:val="0022535F"/>
    <w:rsid w:val="00225704"/>
    <w:rsid w:val="00225B5B"/>
    <w:rsid w:val="00225D0C"/>
    <w:rsid w:val="00226403"/>
    <w:rsid w:val="00226461"/>
    <w:rsid w:val="00226679"/>
    <w:rsid w:val="00226782"/>
    <w:rsid w:val="00226932"/>
    <w:rsid w:val="0022699B"/>
    <w:rsid w:val="00226BFC"/>
    <w:rsid w:val="002272AB"/>
    <w:rsid w:val="002274CB"/>
    <w:rsid w:val="00227555"/>
    <w:rsid w:val="00227A83"/>
    <w:rsid w:val="00227CBD"/>
    <w:rsid w:val="002300AE"/>
    <w:rsid w:val="002301D6"/>
    <w:rsid w:val="00230515"/>
    <w:rsid w:val="00230ABF"/>
    <w:rsid w:val="00230E55"/>
    <w:rsid w:val="002311C5"/>
    <w:rsid w:val="00231891"/>
    <w:rsid w:val="00231899"/>
    <w:rsid w:val="00231E46"/>
    <w:rsid w:val="002320ED"/>
    <w:rsid w:val="0023214C"/>
    <w:rsid w:val="002328F7"/>
    <w:rsid w:val="00232F9D"/>
    <w:rsid w:val="00232FD1"/>
    <w:rsid w:val="0023361F"/>
    <w:rsid w:val="002338C4"/>
    <w:rsid w:val="00233B11"/>
    <w:rsid w:val="002344A7"/>
    <w:rsid w:val="00234568"/>
    <w:rsid w:val="00234B37"/>
    <w:rsid w:val="00234D9F"/>
    <w:rsid w:val="00234F0F"/>
    <w:rsid w:val="00235041"/>
    <w:rsid w:val="00235A66"/>
    <w:rsid w:val="00235BD6"/>
    <w:rsid w:val="00235EFE"/>
    <w:rsid w:val="0023612D"/>
    <w:rsid w:val="0023622A"/>
    <w:rsid w:val="002363B1"/>
    <w:rsid w:val="00236618"/>
    <w:rsid w:val="00236BC2"/>
    <w:rsid w:val="0023707F"/>
    <w:rsid w:val="00237194"/>
    <w:rsid w:val="00237230"/>
    <w:rsid w:val="00237263"/>
    <w:rsid w:val="0023735D"/>
    <w:rsid w:val="00237837"/>
    <w:rsid w:val="00237C92"/>
    <w:rsid w:val="00240C21"/>
    <w:rsid w:val="00240F22"/>
    <w:rsid w:val="002417D6"/>
    <w:rsid w:val="002417EC"/>
    <w:rsid w:val="002417F9"/>
    <w:rsid w:val="00241826"/>
    <w:rsid w:val="00241B92"/>
    <w:rsid w:val="00241BE0"/>
    <w:rsid w:val="00242210"/>
    <w:rsid w:val="00242B7C"/>
    <w:rsid w:val="00242CF9"/>
    <w:rsid w:val="00242F77"/>
    <w:rsid w:val="0024305F"/>
    <w:rsid w:val="00243133"/>
    <w:rsid w:val="002434B2"/>
    <w:rsid w:val="00243660"/>
    <w:rsid w:val="00243A79"/>
    <w:rsid w:val="00243B1E"/>
    <w:rsid w:val="00244133"/>
    <w:rsid w:val="002442E8"/>
    <w:rsid w:val="002443A9"/>
    <w:rsid w:val="00244441"/>
    <w:rsid w:val="002447BE"/>
    <w:rsid w:val="00244C69"/>
    <w:rsid w:val="00244C8D"/>
    <w:rsid w:val="002450DB"/>
    <w:rsid w:val="00245C87"/>
    <w:rsid w:val="00245E94"/>
    <w:rsid w:val="00245ECC"/>
    <w:rsid w:val="00246CF4"/>
    <w:rsid w:val="002471C5"/>
    <w:rsid w:val="002473BB"/>
    <w:rsid w:val="0024768D"/>
    <w:rsid w:val="00247D0F"/>
    <w:rsid w:val="00247E0D"/>
    <w:rsid w:val="00247EA7"/>
    <w:rsid w:val="002500FB"/>
    <w:rsid w:val="00250697"/>
    <w:rsid w:val="00250829"/>
    <w:rsid w:val="00250963"/>
    <w:rsid w:val="00251722"/>
    <w:rsid w:val="00251738"/>
    <w:rsid w:val="00251B16"/>
    <w:rsid w:val="00251C51"/>
    <w:rsid w:val="0025254B"/>
    <w:rsid w:val="00252594"/>
    <w:rsid w:val="002528A3"/>
    <w:rsid w:val="00252F1D"/>
    <w:rsid w:val="00253070"/>
    <w:rsid w:val="002534FD"/>
    <w:rsid w:val="00253548"/>
    <w:rsid w:val="002538CC"/>
    <w:rsid w:val="00253D4E"/>
    <w:rsid w:val="00253E7F"/>
    <w:rsid w:val="002546FF"/>
    <w:rsid w:val="00254781"/>
    <w:rsid w:val="002548DD"/>
    <w:rsid w:val="00254D4A"/>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0D39"/>
    <w:rsid w:val="00261067"/>
    <w:rsid w:val="002610AB"/>
    <w:rsid w:val="0026158D"/>
    <w:rsid w:val="00261836"/>
    <w:rsid w:val="00261967"/>
    <w:rsid w:val="0026196A"/>
    <w:rsid w:val="002619F6"/>
    <w:rsid w:val="00262141"/>
    <w:rsid w:val="002621B0"/>
    <w:rsid w:val="0026234A"/>
    <w:rsid w:val="0026240F"/>
    <w:rsid w:val="00262636"/>
    <w:rsid w:val="00262C3B"/>
    <w:rsid w:val="00262EA9"/>
    <w:rsid w:val="00263503"/>
    <w:rsid w:val="002639B6"/>
    <w:rsid w:val="00263B9E"/>
    <w:rsid w:val="00263D23"/>
    <w:rsid w:val="0026417C"/>
    <w:rsid w:val="002645E0"/>
    <w:rsid w:val="002646BC"/>
    <w:rsid w:val="0026479B"/>
    <w:rsid w:val="00264C3C"/>
    <w:rsid w:val="00264D1C"/>
    <w:rsid w:val="00264D27"/>
    <w:rsid w:val="00264E0E"/>
    <w:rsid w:val="002651C4"/>
    <w:rsid w:val="002652E2"/>
    <w:rsid w:val="0026533A"/>
    <w:rsid w:val="00265594"/>
    <w:rsid w:val="002656E7"/>
    <w:rsid w:val="00265A7E"/>
    <w:rsid w:val="00265FB9"/>
    <w:rsid w:val="002660E7"/>
    <w:rsid w:val="00266369"/>
    <w:rsid w:val="00266427"/>
    <w:rsid w:val="002668A5"/>
    <w:rsid w:val="00266963"/>
    <w:rsid w:val="0026698A"/>
    <w:rsid w:val="00266A37"/>
    <w:rsid w:val="00266A4E"/>
    <w:rsid w:val="0026743B"/>
    <w:rsid w:val="002674D4"/>
    <w:rsid w:val="0026788C"/>
    <w:rsid w:val="00267B8E"/>
    <w:rsid w:val="00270089"/>
    <w:rsid w:val="002702AC"/>
    <w:rsid w:val="002703EE"/>
    <w:rsid w:val="00270486"/>
    <w:rsid w:val="0027067A"/>
    <w:rsid w:val="00270B4C"/>
    <w:rsid w:val="00270BA6"/>
    <w:rsid w:val="00271495"/>
    <w:rsid w:val="002718F5"/>
    <w:rsid w:val="00271BB0"/>
    <w:rsid w:val="00271C21"/>
    <w:rsid w:val="00272197"/>
    <w:rsid w:val="00272239"/>
    <w:rsid w:val="0027254B"/>
    <w:rsid w:val="0027257D"/>
    <w:rsid w:val="0027278D"/>
    <w:rsid w:val="002727A5"/>
    <w:rsid w:val="002727F1"/>
    <w:rsid w:val="00272815"/>
    <w:rsid w:val="0027284A"/>
    <w:rsid w:val="00272976"/>
    <w:rsid w:val="00272E6F"/>
    <w:rsid w:val="0027309A"/>
    <w:rsid w:val="00273166"/>
    <w:rsid w:val="002733D4"/>
    <w:rsid w:val="0027349E"/>
    <w:rsid w:val="00273798"/>
    <w:rsid w:val="0027381D"/>
    <w:rsid w:val="0027386A"/>
    <w:rsid w:val="00273D5D"/>
    <w:rsid w:val="00274177"/>
    <w:rsid w:val="002743FA"/>
    <w:rsid w:val="00274620"/>
    <w:rsid w:val="00274BBB"/>
    <w:rsid w:val="00274EAD"/>
    <w:rsid w:val="00274F2E"/>
    <w:rsid w:val="0027566E"/>
    <w:rsid w:val="00275A35"/>
    <w:rsid w:val="00275A9F"/>
    <w:rsid w:val="00275D3C"/>
    <w:rsid w:val="00275D68"/>
    <w:rsid w:val="00276171"/>
    <w:rsid w:val="0027680C"/>
    <w:rsid w:val="00276900"/>
    <w:rsid w:val="00276C62"/>
    <w:rsid w:val="0027710B"/>
    <w:rsid w:val="00277155"/>
    <w:rsid w:val="00277448"/>
    <w:rsid w:val="0027752A"/>
    <w:rsid w:val="00277C1C"/>
    <w:rsid w:val="00277D4A"/>
    <w:rsid w:val="00277E37"/>
    <w:rsid w:val="00277E82"/>
    <w:rsid w:val="00280061"/>
    <w:rsid w:val="00280377"/>
    <w:rsid w:val="0028041B"/>
    <w:rsid w:val="002804AC"/>
    <w:rsid w:val="002804EB"/>
    <w:rsid w:val="002808BE"/>
    <w:rsid w:val="00281059"/>
    <w:rsid w:val="00281554"/>
    <w:rsid w:val="0028196F"/>
    <w:rsid w:val="00281A05"/>
    <w:rsid w:val="00281C4A"/>
    <w:rsid w:val="00281C8C"/>
    <w:rsid w:val="00282236"/>
    <w:rsid w:val="00282268"/>
    <w:rsid w:val="0028247B"/>
    <w:rsid w:val="002828FD"/>
    <w:rsid w:val="00282F47"/>
    <w:rsid w:val="00283AE9"/>
    <w:rsid w:val="002840A3"/>
    <w:rsid w:val="00284AB7"/>
    <w:rsid w:val="00284D53"/>
    <w:rsid w:val="00284DAF"/>
    <w:rsid w:val="002850DB"/>
    <w:rsid w:val="00285A80"/>
    <w:rsid w:val="00285D73"/>
    <w:rsid w:val="00285F5C"/>
    <w:rsid w:val="002862AB"/>
    <w:rsid w:val="002862DE"/>
    <w:rsid w:val="002865EA"/>
    <w:rsid w:val="002869BD"/>
    <w:rsid w:val="00286A96"/>
    <w:rsid w:val="00286CFA"/>
    <w:rsid w:val="00286F35"/>
    <w:rsid w:val="00287290"/>
    <w:rsid w:val="002874B8"/>
    <w:rsid w:val="002876EC"/>
    <w:rsid w:val="0028777D"/>
    <w:rsid w:val="00287F76"/>
    <w:rsid w:val="00290211"/>
    <w:rsid w:val="002908EB"/>
    <w:rsid w:val="002909A8"/>
    <w:rsid w:val="00290DD8"/>
    <w:rsid w:val="00291628"/>
    <w:rsid w:val="00291E84"/>
    <w:rsid w:val="0029200F"/>
    <w:rsid w:val="00292686"/>
    <w:rsid w:val="00292729"/>
    <w:rsid w:val="00292E42"/>
    <w:rsid w:val="002930F0"/>
    <w:rsid w:val="0029317C"/>
    <w:rsid w:val="00293972"/>
    <w:rsid w:val="002939A1"/>
    <w:rsid w:val="00293E11"/>
    <w:rsid w:val="0029413E"/>
    <w:rsid w:val="00294271"/>
    <w:rsid w:val="0029428F"/>
    <w:rsid w:val="002943C8"/>
    <w:rsid w:val="002943D6"/>
    <w:rsid w:val="002948C8"/>
    <w:rsid w:val="00294B9E"/>
    <w:rsid w:val="00294CC4"/>
    <w:rsid w:val="00294DB4"/>
    <w:rsid w:val="00294E55"/>
    <w:rsid w:val="00294E58"/>
    <w:rsid w:val="00295425"/>
    <w:rsid w:val="002955FB"/>
    <w:rsid w:val="002957D8"/>
    <w:rsid w:val="00295F26"/>
    <w:rsid w:val="0029619C"/>
    <w:rsid w:val="002962DC"/>
    <w:rsid w:val="0029661E"/>
    <w:rsid w:val="002968B2"/>
    <w:rsid w:val="00296AA9"/>
    <w:rsid w:val="00296BFD"/>
    <w:rsid w:val="00296CA0"/>
    <w:rsid w:val="00296E94"/>
    <w:rsid w:val="00296F54"/>
    <w:rsid w:val="0029700A"/>
    <w:rsid w:val="00297699"/>
    <w:rsid w:val="00297761"/>
    <w:rsid w:val="002978BE"/>
    <w:rsid w:val="002A0347"/>
    <w:rsid w:val="002A0A1D"/>
    <w:rsid w:val="002A12FD"/>
    <w:rsid w:val="002A1882"/>
    <w:rsid w:val="002A1B8C"/>
    <w:rsid w:val="002A28CE"/>
    <w:rsid w:val="002A2E5E"/>
    <w:rsid w:val="002A373D"/>
    <w:rsid w:val="002A3DE5"/>
    <w:rsid w:val="002A3E42"/>
    <w:rsid w:val="002A3EE0"/>
    <w:rsid w:val="002A44A4"/>
    <w:rsid w:val="002A44B4"/>
    <w:rsid w:val="002A4657"/>
    <w:rsid w:val="002A484E"/>
    <w:rsid w:val="002A4F7D"/>
    <w:rsid w:val="002A54AE"/>
    <w:rsid w:val="002A629A"/>
    <w:rsid w:val="002A63A9"/>
    <w:rsid w:val="002A670F"/>
    <w:rsid w:val="002A6EF8"/>
    <w:rsid w:val="002A7525"/>
    <w:rsid w:val="002A78A7"/>
    <w:rsid w:val="002A7960"/>
    <w:rsid w:val="002A7D91"/>
    <w:rsid w:val="002A7EC9"/>
    <w:rsid w:val="002B01B7"/>
    <w:rsid w:val="002B0249"/>
    <w:rsid w:val="002B03F7"/>
    <w:rsid w:val="002B049D"/>
    <w:rsid w:val="002B0814"/>
    <w:rsid w:val="002B0CB4"/>
    <w:rsid w:val="002B0DBA"/>
    <w:rsid w:val="002B0F56"/>
    <w:rsid w:val="002B113A"/>
    <w:rsid w:val="002B130B"/>
    <w:rsid w:val="002B1735"/>
    <w:rsid w:val="002B1812"/>
    <w:rsid w:val="002B1B7A"/>
    <w:rsid w:val="002B1B82"/>
    <w:rsid w:val="002B2283"/>
    <w:rsid w:val="002B25FB"/>
    <w:rsid w:val="002B2B50"/>
    <w:rsid w:val="002B3064"/>
    <w:rsid w:val="002B323E"/>
    <w:rsid w:val="002B3352"/>
    <w:rsid w:val="002B34FF"/>
    <w:rsid w:val="002B3890"/>
    <w:rsid w:val="002B3C30"/>
    <w:rsid w:val="002B3EB9"/>
    <w:rsid w:val="002B428A"/>
    <w:rsid w:val="002B487A"/>
    <w:rsid w:val="002B4B86"/>
    <w:rsid w:val="002B4EA8"/>
    <w:rsid w:val="002B596F"/>
    <w:rsid w:val="002B5A11"/>
    <w:rsid w:val="002B5B1A"/>
    <w:rsid w:val="002B5BCB"/>
    <w:rsid w:val="002B5D56"/>
    <w:rsid w:val="002B5EAA"/>
    <w:rsid w:val="002B620B"/>
    <w:rsid w:val="002B645E"/>
    <w:rsid w:val="002B6831"/>
    <w:rsid w:val="002B6F8C"/>
    <w:rsid w:val="002B706E"/>
    <w:rsid w:val="002B745C"/>
    <w:rsid w:val="002B7529"/>
    <w:rsid w:val="002B75CB"/>
    <w:rsid w:val="002B7983"/>
    <w:rsid w:val="002C0080"/>
    <w:rsid w:val="002C0398"/>
    <w:rsid w:val="002C03CE"/>
    <w:rsid w:val="002C0E2C"/>
    <w:rsid w:val="002C0ECE"/>
    <w:rsid w:val="002C1081"/>
    <w:rsid w:val="002C112A"/>
    <w:rsid w:val="002C13AE"/>
    <w:rsid w:val="002C17A3"/>
    <w:rsid w:val="002C1BD4"/>
    <w:rsid w:val="002C1C92"/>
    <w:rsid w:val="002C1FF9"/>
    <w:rsid w:val="002C2097"/>
    <w:rsid w:val="002C2344"/>
    <w:rsid w:val="002C26DE"/>
    <w:rsid w:val="002C28FB"/>
    <w:rsid w:val="002C29DD"/>
    <w:rsid w:val="002C2BAC"/>
    <w:rsid w:val="002C2FD9"/>
    <w:rsid w:val="002C3122"/>
    <w:rsid w:val="002C362C"/>
    <w:rsid w:val="002C3714"/>
    <w:rsid w:val="002C379A"/>
    <w:rsid w:val="002C3B24"/>
    <w:rsid w:val="002C3E80"/>
    <w:rsid w:val="002C421F"/>
    <w:rsid w:val="002C44A8"/>
    <w:rsid w:val="002C4877"/>
    <w:rsid w:val="002C4AA4"/>
    <w:rsid w:val="002C4B78"/>
    <w:rsid w:val="002C4BCB"/>
    <w:rsid w:val="002C4F15"/>
    <w:rsid w:val="002C4F60"/>
    <w:rsid w:val="002C50BF"/>
    <w:rsid w:val="002C59AC"/>
    <w:rsid w:val="002C5D6A"/>
    <w:rsid w:val="002C63C4"/>
    <w:rsid w:val="002C64C2"/>
    <w:rsid w:val="002C6AB6"/>
    <w:rsid w:val="002C6C39"/>
    <w:rsid w:val="002C702C"/>
    <w:rsid w:val="002C77D8"/>
    <w:rsid w:val="002C7905"/>
    <w:rsid w:val="002C7A4F"/>
    <w:rsid w:val="002D001A"/>
    <w:rsid w:val="002D0179"/>
    <w:rsid w:val="002D07EA"/>
    <w:rsid w:val="002D14B2"/>
    <w:rsid w:val="002D14E2"/>
    <w:rsid w:val="002D23BB"/>
    <w:rsid w:val="002D26BB"/>
    <w:rsid w:val="002D2A74"/>
    <w:rsid w:val="002D2D74"/>
    <w:rsid w:val="002D30D9"/>
    <w:rsid w:val="002D3487"/>
    <w:rsid w:val="002D377F"/>
    <w:rsid w:val="002D37B7"/>
    <w:rsid w:val="002D3D34"/>
    <w:rsid w:val="002D40B9"/>
    <w:rsid w:val="002D41B1"/>
    <w:rsid w:val="002D44D5"/>
    <w:rsid w:val="002D45C1"/>
    <w:rsid w:val="002D45DD"/>
    <w:rsid w:val="002D500B"/>
    <w:rsid w:val="002D5B2B"/>
    <w:rsid w:val="002D6341"/>
    <w:rsid w:val="002D648A"/>
    <w:rsid w:val="002D6506"/>
    <w:rsid w:val="002D66F4"/>
    <w:rsid w:val="002D71E2"/>
    <w:rsid w:val="002D7439"/>
    <w:rsid w:val="002D7C26"/>
    <w:rsid w:val="002D7E3D"/>
    <w:rsid w:val="002E0647"/>
    <w:rsid w:val="002E09D6"/>
    <w:rsid w:val="002E0A17"/>
    <w:rsid w:val="002E0A9D"/>
    <w:rsid w:val="002E0AAB"/>
    <w:rsid w:val="002E0BFA"/>
    <w:rsid w:val="002E0DB1"/>
    <w:rsid w:val="002E0E0F"/>
    <w:rsid w:val="002E13F3"/>
    <w:rsid w:val="002E15DD"/>
    <w:rsid w:val="002E166A"/>
    <w:rsid w:val="002E167C"/>
    <w:rsid w:val="002E17A7"/>
    <w:rsid w:val="002E1E79"/>
    <w:rsid w:val="002E223A"/>
    <w:rsid w:val="002E27E0"/>
    <w:rsid w:val="002E2DCC"/>
    <w:rsid w:val="002E35E0"/>
    <w:rsid w:val="002E3B54"/>
    <w:rsid w:val="002E403B"/>
    <w:rsid w:val="002E4450"/>
    <w:rsid w:val="002E4761"/>
    <w:rsid w:val="002E478E"/>
    <w:rsid w:val="002E4DA4"/>
    <w:rsid w:val="002E525F"/>
    <w:rsid w:val="002E52A5"/>
    <w:rsid w:val="002E54A7"/>
    <w:rsid w:val="002E5E0C"/>
    <w:rsid w:val="002E60B7"/>
    <w:rsid w:val="002E62E9"/>
    <w:rsid w:val="002E6345"/>
    <w:rsid w:val="002E6375"/>
    <w:rsid w:val="002E6590"/>
    <w:rsid w:val="002E663C"/>
    <w:rsid w:val="002E6B6F"/>
    <w:rsid w:val="002E709D"/>
    <w:rsid w:val="002F03F0"/>
    <w:rsid w:val="002F0F72"/>
    <w:rsid w:val="002F1260"/>
    <w:rsid w:val="002F1774"/>
    <w:rsid w:val="002F17CD"/>
    <w:rsid w:val="002F1EC3"/>
    <w:rsid w:val="002F1F01"/>
    <w:rsid w:val="002F204E"/>
    <w:rsid w:val="002F2215"/>
    <w:rsid w:val="002F250B"/>
    <w:rsid w:val="002F2678"/>
    <w:rsid w:val="002F27B8"/>
    <w:rsid w:val="002F2916"/>
    <w:rsid w:val="002F2DB7"/>
    <w:rsid w:val="002F3222"/>
    <w:rsid w:val="002F37DE"/>
    <w:rsid w:val="002F3B21"/>
    <w:rsid w:val="002F3DA7"/>
    <w:rsid w:val="002F4141"/>
    <w:rsid w:val="002F4305"/>
    <w:rsid w:val="002F4931"/>
    <w:rsid w:val="002F498C"/>
    <w:rsid w:val="002F4FB0"/>
    <w:rsid w:val="002F53DF"/>
    <w:rsid w:val="002F57F2"/>
    <w:rsid w:val="002F5CD6"/>
    <w:rsid w:val="002F5E1F"/>
    <w:rsid w:val="002F68A4"/>
    <w:rsid w:val="002F6F36"/>
    <w:rsid w:val="002F7122"/>
    <w:rsid w:val="002F72FC"/>
    <w:rsid w:val="002F7538"/>
    <w:rsid w:val="002F769F"/>
    <w:rsid w:val="002F7D08"/>
    <w:rsid w:val="002F7D8B"/>
    <w:rsid w:val="002F7ED7"/>
    <w:rsid w:val="00300368"/>
    <w:rsid w:val="0030043E"/>
    <w:rsid w:val="003005AB"/>
    <w:rsid w:val="0030088A"/>
    <w:rsid w:val="00300A66"/>
    <w:rsid w:val="00300ACA"/>
    <w:rsid w:val="00300BCA"/>
    <w:rsid w:val="0030190B"/>
    <w:rsid w:val="00301DD8"/>
    <w:rsid w:val="0030234B"/>
    <w:rsid w:val="003026B2"/>
    <w:rsid w:val="00302A3F"/>
    <w:rsid w:val="00302FF0"/>
    <w:rsid w:val="00303350"/>
    <w:rsid w:val="00303393"/>
    <w:rsid w:val="003037E8"/>
    <w:rsid w:val="00303AD6"/>
    <w:rsid w:val="00303B74"/>
    <w:rsid w:val="003048AB"/>
    <w:rsid w:val="00304B86"/>
    <w:rsid w:val="00304EBC"/>
    <w:rsid w:val="00304EC3"/>
    <w:rsid w:val="00304FEB"/>
    <w:rsid w:val="003051F6"/>
    <w:rsid w:val="0030522F"/>
    <w:rsid w:val="003055A0"/>
    <w:rsid w:val="003057A5"/>
    <w:rsid w:val="0030599A"/>
    <w:rsid w:val="00305F64"/>
    <w:rsid w:val="00306262"/>
    <w:rsid w:val="003065CA"/>
    <w:rsid w:val="003067C8"/>
    <w:rsid w:val="0030710C"/>
    <w:rsid w:val="003074B3"/>
    <w:rsid w:val="003075F3"/>
    <w:rsid w:val="00307657"/>
    <w:rsid w:val="00307B6D"/>
    <w:rsid w:val="00307D3C"/>
    <w:rsid w:val="00307EA9"/>
    <w:rsid w:val="00307F9B"/>
    <w:rsid w:val="00310271"/>
    <w:rsid w:val="0031082C"/>
    <w:rsid w:val="0031090A"/>
    <w:rsid w:val="00310C18"/>
    <w:rsid w:val="00311741"/>
    <w:rsid w:val="00311FF1"/>
    <w:rsid w:val="00312166"/>
    <w:rsid w:val="003122C6"/>
    <w:rsid w:val="00312419"/>
    <w:rsid w:val="00312636"/>
    <w:rsid w:val="0031271D"/>
    <w:rsid w:val="00312940"/>
    <w:rsid w:val="00312A54"/>
    <w:rsid w:val="003137B8"/>
    <w:rsid w:val="003138A5"/>
    <w:rsid w:val="00313A64"/>
    <w:rsid w:val="00313B75"/>
    <w:rsid w:val="00313E32"/>
    <w:rsid w:val="003143E5"/>
    <w:rsid w:val="0031471A"/>
    <w:rsid w:val="00314D69"/>
    <w:rsid w:val="00314DE9"/>
    <w:rsid w:val="00314E9E"/>
    <w:rsid w:val="00315504"/>
    <w:rsid w:val="003155AC"/>
    <w:rsid w:val="00315C41"/>
    <w:rsid w:val="00315EBD"/>
    <w:rsid w:val="00316068"/>
    <w:rsid w:val="00316861"/>
    <w:rsid w:val="0031766A"/>
    <w:rsid w:val="0031770B"/>
    <w:rsid w:val="00317C4C"/>
    <w:rsid w:val="003201D6"/>
    <w:rsid w:val="00320550"/>
    <w:rsid w:val="0032086A"/>
    <w:rsid w:val="00320A0F"/>
    <w:rsid w:val="00320DF2"/>
    <w:rsid w:val="00321E0F"/>
    <w:rsid w:val="003227AE"/>
    <w:rsid w:val="003229D6"/>
    <w:rsid w:val="00322B1B"/>
    <w:rsid w:val="00322B58"/>
    <w:rsid w:val="00322CF8"/>
    <w:rsid w:val="003230EF"/>
    <w:rsid w:val="00323185"/>
    <w:rsid w:val="003232CA"/>
    <w:rsid w:val="00323C35"/>
    <w:rsid w:val="0032400C"/>
    <w:rsid w:val="00324153"/>
    <w:rsid w:val="003241B5"/>
    <w:rsid w:val="003243E9"/>
    <w:rsid w:val="00324519"/>
    <w:rsid w:val="003247E3"/>
    <w:rsid w:val="00324B8F"/>
    <w:rsid w:val="00326311"/>
    <w:rsid w:val="003266E3"/>
    <w:rsid w:val="003267AB"/>
    <w:rsid w:val="00326ED5"/>
    <w:rsid w:val="0032779B"/>
    <w:rsid w:val="003277C6"/>
    <w:rsid w:val="0032797F"/>
    <w:rsid w:val="003279B1"/>
    <w:rsid w:val="0033002C"/>
    <w:rsid w:val="003302B3"/>
    <w:rsid w:val="0033066E"/>
    <w:rsid w:val="00330860"/>
    <w:rsid w:val="00330898"/>
    <w:rsid w:val="00330CD1"/>
    <w:rsid w:val="00330F96"/>
    <w:rsid w:val="00331402"/>
    <w:rsid w:val="00331564"/>
    <w:rsid w:val="00331C83"/>
    <w:rsid w:val="00331F43"/>
    <w:rsid w:val="00332085"/>
    <w:rsid w:val="00332112"/>
    <w:rsid w:val="00332258"/>
    <w:rsid w:val="00332651"/>
    <w:rsid w:val="00332C71"/>
    <w:rsid w:val="00332E1C"/>
    <w:rsid w:val="00332FE7"/>
    <w:rsid w:val="0033323F"/>
    <w:rsid w:val="0033326F"/>
    <w:rsid w:val="003332E9"/>
    <w:rsid w:val="0033336C"/>
    <w:rsid w:val="0033374A"/>
    <w:rsid w:val="00334216"/>
    <w:rsid w:val="00334D4B"/>
    <w:rsid w:val="00334FEC"/>
    <w:rsid w:val="00335234"/>
    <w:rsid w:val="00335454"/>
    <w:rsid w:val="00335556"/>
    <w:rsid w:val="003357A5"/>
    <w:rsid w:val="003358AC"/>
    <w:rsid w:val="00335A67"/>
    <w:rsid w:val="00335ACF"/>
    <w:rsid w:val="00335DFC"/>
    <w:rsid w:val="003364EB"/>
    <w:rsid w:val="003369E9"/>
    <w:rsid w:val="00336AF8"/>
    <w:rsid w:val="00336D82"/>
    <w:rsid w:val="00336E00"/>
    <w:rsid w:val="00336FCE"/>
    <w:rsid w:val="003374B9"/>
    <w:rsid w:val="00337599"/>
    <w:rsid w:val="00337801"/>
    <w:rsid w:val="00337AE4"/>
    <w:rsid w:val="00340525"/>
    <w:rsid w:val="00340943"/>
    <w:rsid w:val="00340D6C"/>
    <w:rsid w:val="00341201"/>
    <w:rsid w:val="0034151E"/>
    <w:rsid w:val="00341652"/>
    <w:rsid w:val="0034170A"/>
    <w:rsid w:val="003417A1"/>
    <w:rsid w:val="00341D9D"/>
    <w:rsid w:val="00341F7B"/>
    <w:rsid w:val="00342020"/>
    <w:rsid w:val="0034208E"/>
    <w:rsid w:val="0034221D"/>
    <w:rsid w:val="003428A8"/>
    <w:rsid w:val="00342971"/>
    <w:rsid w:val="00342CDD"/>
    <w:rsid w:val="003433E1"/>
    <w:rsid w:val="0034376F"/>
    <w:rsid w:val="0034379A"/>
    <w:rsid w:val="00343C4C"/>
    <w:rsid w:val="00344282"/>
    <w:rsid w:val="003444EA"/>
    <w:rsid w:val="00344820"/>
    <w:rsid w:val="00344F4E"/>
    <w:rsid w:val="0034520B"/>
    <w:rsid w:val="00345DA7"/>
    <w:rsid w:val="00345E28"/>
    <w:rsid w:val="00345F3F"/>
    <w:rsid w:val="00346594"/>
    <w:rsid w:val="003466C2"/>
    <w:rsid w:val="00346AE9"/>
    <w:rsid w:val="00346C60"/>
    <w:rsid w:val="00346CD9"/>
    <w:rsid w:val="00346DA6"/>
    <w:rsid w:val="00346DCB"/>
    <w:rsid w:val="0034755D"/>
    <w:rsid w:val="0034781D"/>
    <w:rsid w:val="003478B8"/>
    <w:rsid w:val="00347A7B"/>
    <w:rsid w:val="00347C78"/>
    <w:rsid w:val="0035047A"/>
    <w:rsid w:val="003506A3"/>
    <w:rsid w:val="0035073E"/>
    <w:rsid w:val="003508F5"/>
    <w:rsid w:val="00350C02"/>
    <w:rsid w:val="00350C65"/>
    <w:rsid w:val="00350ED6"/>
    <w:rsid w:val="003514A5"/>
    <w:rsid w:val="00351508"/>
    <w:rsid w:val="003515E4"/>
    <w:rsid w:val="003516AB"/>
    <w:rsid w:val="00351775"/>
    <w:rsid w:val="0035203D"/>
    <w:rsid w:val="0035209C"/>
    <w:rsid w:val="003520F2"/>
    <w:rsid w:val="00352478"/>
    <w:rsid w:val="0035276A"/>
    <w:rsid w:val="00352844"/>
    <w:rsid w:val="00352C51"/>
    <w:rsid w:val="00352DA4"/>
    <w:rsid w:val="00352DD2"/>
    <w:rsid w:val="00352F42"/>
    <w:rsid w:val="00353066"/>
    <w:rsid w:val="003530D0"/>
    <w:rsid w:val="003534F2"/>
    <w:rsid w:val="0035378F"/>
    <w:rsid w:val="00353A33"/>
    <w:rsid w:val="00354081"/>
    <w:rsid w:val="00354271"/>
    <w:rsid w:val="00354501"/>
    <w:rsid w:val="0035460B"/>
    <w:rsid w:val="00354CEC"/>
    <w:rsid w:val="00354F2C"/>
    <w:rsid w:val="0035527A"/>
    <w:rsid w:val="003552D7"/>
    <w:rsid w:val="003552DE"/>
    <w:rsid w:val="003552EC"/>
    <w:rsid w:val="00355346"/>
    <w:rsid w:val="0035597C"/>
    <w:rsid w:val="00355E27"/>
    <w:rsid w:val="00357189"/>
    <w:rsid w:val="0035733C"/>
    <w:rsid w:val="00357450"/>
    <w:rsid w:val="00357467"/>
    <w:rsid w:val="00357662"/>
    <w:rsid w:val="00357726"/>
    <w:rsid w:val="00357C8B"/>
    <w:rsid w:val="00357DB0"/>
    <w:rsid w:val="0036024D"/>
    <w:rsid w:val="003602E7"/>
    <w:rsid w:val="00360444"/>
    <w:rsid w:val="003606A5"/>
    <w:rsid w:val="00360878"/>
    <w:rsid w:val="00360937"/>
    <w:rsid w:val="00361487"/>
    <w:rsid w:val="003617E9"/>
    <w:rsid w:val="00361AD2"/>
    <w:rsid w:val="00361C7B"/>
    <w:rsid w:val="00361F71"/>
    <w:rsid w:val="003623D0"/>
    <w:rsid w:val="003625C9"/>
    <w:rsid w:val="00362655"/>
    <w:rsid w:val="00362B31"/>
    <w:rsid w:val="00362DF5"/>
    <w:rsid w:val="003630E0"/>
    <w:rsid w:val="003630E3"/>
    <w:rsid w:val="00363320"/>
    <w:rsid w:val="00363362"/>
    <w:rsid w:val="0036364D"/>
    <w:rsid w:val="00363751"/>
    <w:rsid w:val="00363892"/>
    <w:rsid w:val="00363BA9"/>
    <w:rsid w:val="00363F7A"/>
    <w:rsid w:val="00364295"/>
    <w:rsid w:val="003645AF"/>
    <w:rsid w:val="003646B0"/>
    <w:rsid w:val="00364B65"/>
    <w:rsid w:val="00364C67"/>
    <w:rsid w:val="00364DAC"/>
    <w:rsid w:val="00365240"/>
    <w:rsid w:val="003652B5"/>
    <w:rsid w:val="003656F1"/>
    <w:rsid w:val="003661D8"/>
    <w:rsid w:val="003662D4"/>
    <w:rsid w:val="0036650E"/>
    <w:rsid w:val="0036682B"/>
    <w:rsid w:val="0036699E"/>
    <w:rsid w:val="00366D2A"/>
    <w:rsid w:val="00366D35"/>
    <w:rsid w:val="00367107"/>
    <w:rsid w:val="003672B7"/>
    <w:rsid w:val="00367842"/>
    <w:rsid w:val="00370778"/>
    <w:rsid w:val="003707DA"/>
    <w:rsid w:val="00370DCA"/>
    <w:rsid w:val="003715A2"/>
    <w:rsid w:val="00371DE0"/>
    <w:rsid w:val="00371F1B"/>
    <w:rsid w:val="0037202E"/>
    <w:rsid w:val="00372319"/>
    <w:rsid w:val="00372368"/>
    <w:rsid w:val="00373884"/>
    <w:rsid w:val="003738EA"/>
    <w:rsid w:val="003739FC"/>
    <w:rsid w:val="00373D6F"/>
    <w:rsid w:val="00373ED7"/>
    <w:rsid w:val="00373F6B"/>
    <w:rsid w:val="003742E8"/>
    <w:rsid w:val="0037471D"/>
    <w:rsid w:val="003749B0"/>
    <w:rsid w:val="00374C56"/>
    <w:rsid w:val="003750EC"/>
    <w:rsid w:val="00375811"/>
    <w:rsid w:val="00375C25"/>
    <w:rsid w:val="0037600D"/>
    <w:rsid w:val="003760B4"/>
    <w:rsid w:val="0037686F"/>
    <w:rsid w:val="00376C06"/>
    <w:rsid w:val="00377031"/>
    <w:rsid w:val="00377691"/>
    <w:rsid w:val="003779B7"/>
    <w:rsid w:val="00377ACB"/>
    <w:rsid w:val="00377B2E"/>
    <w:rsid w:val="00377BBF"/>
    <w:rsid w:val="00377D23"/>
    <w:rsid w:val="0038003F"/>
    <w:rsid w:val="00380240"/>
    <w:rsid w:val="00380684"/>
    <w:rsid w:val="00380C09"/>
    <w:rsid w:val="00380ED7"/>
    <w:rsid w:val="00381221"/>
    <w:rsid w:val="003812C2"/>
    <w:rsid w:val="0038131C"/>
    <w:rsid w:val="00381419"/>
    <w:rsid w:val="00381550"/>
    <w:rsid w:val="00381751"/>
    <w:rsid w:val="00381BA5"/>
    <w:rsid w:val="00381FDE"/>
    <w:rsid w:val="00382185"/>
    <w:rsid w:val="003825B1"/>
    <w:rsid w:val="00382674"/>
    <w:rsid w:val="003828E4"/>
    <w:rsid w:val="00382C4F"/>
    <w:rsid w:val="00382DFD"/>
    <w:rsid w:val="00382EA5"/>
    <w:rsid w:val="003830F2"/>
    <w:rsid w:val="003831BB"/>
    <w:rsid w:val="00383416"/>
    <w:rsid w:val="0038342A"/>
    <w:rsid w:val="0038386C"/>
    <w:rsid w:val="00383932"/>
    <w:rsid w:val="00383AEB"/>
    <w:rsid w:val="003841EF"/>
    <w:rsid w:val="00384595"/>
    <w:rsid w:val="003847F8"/>
    <w:rsid w:val="00384DCF"/>
    <w:rsid w:val="003851B8"/>
    <w:rsid w:val="0038543F"/>
    <w:rsid w:val="0038587C"/>
    <w:rsid w:val="003858E3"/>
    <w:rsid w:val="00385B90"/>
    <w:rsid w:val="00385CD1"/>
    <w:rsid w:val="00386C39"/>
    <w:rsid w:val="00386C51"/>
    <w:rsid w:val="003870C7"/>
    <w:rsid w:val="00387279"/>
    <w:rsid w:val="003873EC"/>
    <w:rsid w:val="0038758C"/>
    <w:rsid w:val="003877B4"/>
    <w:rsid w:val="003877FA"/>
    <w:rsid w:val="00387B14"/>
    <w:rsid w:val="0039050A"/>
    <w:rsid w:val="003907B7"/>
    <w:rsid w:val="00390A71"/>
    <w:rsid w:val="00390BBB"/>
    <w:rsid w:val="00391051"/>
    <w:rsid w:val="00391722"/>
    <w:rsid w:val="003918C2"/>
    <w:rsid w:val="00391D3E"/>
    <w:rsid w:val="003923C9"/>
    <w:rsid w:val="003929B9"/>
    <w:rsid w:val="0039302C"/>
    <w:rsid w:val="003930E4"/>
    <w:rsid w:val="00393315"/>
    <w:rsid w:val="00393591"/>
    <w:rsid w:val="00393B51"/>
    <w:rsid w:val="00393D3F"/>
    <w:rsid w:val="00393D4D"/>
    <w:rsid w:val="00394380"/>
    <w:rsid w:val="0039486E"/>
    <w:rsid w:val="00395136"/>
    <w:rsid w:val="00395D05"/>
    <w:rsid w:val="00395D07"/>
    <w:rsid w:val="003961E3"/>
    <w:rsid w:val="0039625A"/>
    <w:rsid w:val="00396DE8"/>
    <w:rsid w:val="00396E03"/>
    <w:rsid w:val="00397213"/>
    <w:rsid w:val="0039735D"/>
    <w:rsid w:val="003974F3"/>
    <w:rsid w:val="003977A3"/>
    <w:rsid w:val="00397B3F"/>
    <w:rsid w:val="00397E52"/>
    <w:rsid w:val="003A050D"/>
    <w:rsid w:val="003A0C00"/>
    <w:rsid w:val="003A0E36"/>
    <w:rsid w:val="003A0EE1"/>
    <w:rsid w:val="003A1006"/>
    <w:rsid w:val="003A1049"/>
    <w:rsid w:val="003A117A"/>
    <w:rsid w:val="003A1251"/>
    <w:rsid w:val="003A13A2"/>
    <w:rsid w:val="003A1870"/>
    <w:rsid w:val="003A1AB3"/>
    <w:rsid w:val="003A2214"/>
    <w:rsid w:val="003A2282"/>
    <w:rsid w:val="003A2290"/>
    <w:rsid w:val="003A2350"/>
    <w:rsid w:val="003A265D"/>
    <w:rsid w:val="003A31E4"/>
    <w:rsid w:val="003A36FC"/>
    <w:rsid w:val="003A3841"/>
    <w:rsid w:val="003A3DF1"/>
    <w:rsid w:val="003A3F2C"/>
    <w:rsid w:val="003A3F86"/>
    <w:rsid w:val="003A3FE5"/>
    <w:rsid w:val="003A518A"/>
    <w:rsid w:val="003A5674"/>
    <w:rsid w:val="003A577F"/>
    <w:rsid w:val="003A5977"/>
    <w:rsid w:val="003A61A8"/>
    <w:rsid w:val="003A652C"/>
    <w:rsid w:val="003A6670"/>
    <w:rsid w:val="003A6CD3"/>
    <w:rsid w:val="003A7D08"/>
    <w:rsid w:val="003A7FE6"/>
    <w:rsid w:val="003B030F"/>
    <w:rsid w:val="003B036B"/>
    <w:rsid w:val="003B03EF"/>
    <w:rsid w:val="003B0761"/>
    <w:rsid w:val="003B076F"/>
    <w:rsid w:val="003B0AB5"/>
    <w:rsid w:val="003B0C3B"/>
    <w:rsid w:val="003B0E7D"/>
    <w:rsid w:val="003B1525"/>
    <w:rsid w:val="003B157D"/>
    <w:rsid w:val="003B1AFF"/>
    <w:rsid w:val="003B1CD3"/>
    <w:rsid w:val="003B1D02"/>
    <w:rsid w:val="003B1D7D"/>
    <w:rsid w:val="003B1EF7"/>
    <w:rsid w:val="003B220C"/>
    <w:rsid w:val="003B2492"/>
    <w:rsid w:val="003B2805"/>
    <w:rsid w:val="003B2C01"/>
    <w:rsid w:val="003B2C2C"/>
    <w:rsid w:val="003B2F20"/>
    <w:rsid w:val="003B2F26"/>
    <w:rsid w:val="003B36AC"/>
    <w:rsid w:val="003B381B"/>
    <w:rsid w:val="003B384A"/>
    <w:rsid w:val="003B40B4"/>
    <w:rsid w:val="003B4338"/>
    <w:rsid w:val="003B4529"/>
    <w:rsid w:val="003B45B0"/>
    <w:rsid w:val="003B4643"/>
    <w:rsid w:val="003B4962"/>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3E8"/>
    <w:rsid w:val="003C06C4"/>
    <w:rsid w:val="003C08FC"/>
    <w:rsid w:val="003C0C05"/>
    <w:rsid w:val="003C0D79"/>
    <w:rsid w:val="003C1208"/>
    <w:rsid w:val="003C1365"/>
    <w:rsid w:val="003C1441"/>
    <w:rsid w:val="003C14F9"/>
    <w:rsid w:val="003C1B9D"/>
    <w:rsid w:val="003C1BBD"/>
    <w:rsid w:val="003C1CC5"/>
    <w:rsid w:val="003C1E84"/>
    <w:rsid w:val="003C2107"/>
    <w:rsid w:val="003C2458"/>
    <w:rsid w:val="003C25CD"/>
    <w:rsid w:val="003C292B"/>
    <w:rsid w:val="003C2E26"/>
    <w:rsid w:val="003C3071"/>
    <w:rsid w:val="003C34DF"/>
    <w:rsid w:val="003C3836"/>
    <w:rsid w:val="003C3A33"/>
    <w:rsid w:val="003C3B3F"/>
    <w:rsid w:val="003C42BC"/>
    <w:rsid w:val="003C44CC"/>
    <w:rsid w:val="003C47CE"/>
    <w:rsid w:val="003C47DF"/>
    <w:rsid w:val="003C48A9"/>
    <w:rsid w:val="003C48AB"/>
    <w:rsid w:val="003C4BDA"/>
    <w:rsid w:val="003C4DED"/>
    <w:rsid w:val="003C4EEE"/>
    <w:rsid w:val="003C5074"/>
    <w:rsid w:val="003C56AF"/>
    <w:rsid w:val="003C5803"/>
    <w:rsid w:val="003C58B0"/>
    <w:rsid w:val="003C5A5C"/>
    <w:rsid w:val="003C6B1B"/>
    <w:rsid w:val="003C6D66"/>
    <w:rsid w:val="003C7A67"/>
    <w:rsid w:val="003C7D1B"/>
    <w:rsid w:val="003D0ACE"/>
    <w:rsid w:val="003D161B"/>
    <w:rsid w:val="003D17D8"/>
    <w:rsid w:val="003D1848"/>
    <w:rsid w:val="003D1866"/>
    <w:rsid w:val="003D19F9"/>
    <w:rsid w:val="003D1C2B"/>
    <w:rsid w:val="003D21BE"/>
    <w:rsid w:val="003D25ED"/>
    <w:rsid w:val="003D28BD"/>
    <w:rsid w:val="003D2965"/>
    <w:rsid w:val="003D2CD5"/>
    <w:rsid w:val="003D2D9F"/>
    <w:rsid w:val="003D30AC"/>
    <w:rsid w:val="003D33F5"/>
    <w:rsid w:val="003D346A"/>
    <w:rsid w:val="003D444A"/>
    <w:rsid w:val="003D4770"/>
    <w:rsid w:val="003D513E"/>
    <w:rsid w:val="003D52BE"/>
    <w:rsid w:val="003D560D"/>
    <w:rsid w:val="003D5EFE"/>
    <w:rsid w:val="003D615C"/>
    <w:rsid w:val="003D64AC"/>
    <w:rsid w:val="003D6539"/>
    <w:rsid w:val="003D6F1B"/>
    <w:rsid w:val="003D7233"/>
    <w:rsid w:val="003D743F"/>
    <w:rsid w:val="003D770B"/>
    <w:rsid w:val="003D773B"/>
    <w:rsid w:val="003D77A5"/>
    <w:rsid w:val="003D78BB"/>
    <w:rsid w:val="003E02DD"/>
    <w:rsid w:val="003E05F3"/>
    <w:rsid w:val="003E06FC"/>
    <w:rsid w:val="003E14E7"/>
    <w:rsid w:val="003E17C2"/>
    <w:rsid w:val="003E18FD"/>
    <w:rsid w:val="003E2081"/>
    <w:rsid w:val="003E2087"/>
    <w:rsid w:val="003E22BD"/>
    <w:rsid w:val="003E2BD1"/>
    <w:rsid w:val="003E2DDC"/>
    <w:rsid w:val="003E399B"/>
    <w:rsid w:val="003E3B7C"/>
    <w:rsid w:val="003E3B8B"/>
    <w:rsid w:val="003E3CF0"/>
    <w:rsid w:val="003E42DF"/>
    <w:rsid w:val="003E457C"/>
    <w:rsid w:val="003E46A0"/>
    <w:rsid w:val="003E477B"/>
    <w:rsid w:val="003E4A07"/>
    <w:rsid w:val="003E4D37"/>
    <w:rsid w:val="003E50B6"/>
    <w:rsid w:val="003E5238"/>
    <w:rsid w:val="003E5560"/>
    <w:rsid w:val="003E5695"/>
    <w:rsid w:val="003E57B1"/>
    <w:rsid w:val="003E584F"/>
    <w:rsid w:val="003E5B51"/>
    <w:rsid w:val="003E5D1D"/>
    <w:rsid w:val="003E5D2A"/>
    <w:rsid w:val="003E5E29"/>
    <w:rsid w:val="003E6417"/>
    <w:rsid w:val="003E6502"/>
    <w:rsid w:val="003E6717"/>
    <w:rsid w:val="003E6E80"/>
    <w:rsid w:val="003E711E"/>
    <w:rsid w:val="003E7764"/>
    <w:rsid w:val="003E7F5A"/>
    <w:rsid w:val="003F068B"/>
    <w:rsid w:val="003F0B3C"/>
    <w:rsid w:val="003F0C5A"/>
    <w:rsid w:val="003F1106"/>
    <w:rsid w:val="003F11B5"/>
    <w:rsid w:val="003F14CC"/>
    <w:rsid w:val="003F1B38"/>
    <w:rsid w:val="003F1D58"/>
    <w:rsid w:val="003F1DD9"/>
    <w:rsid w:val="003F223B"/>
    <w:rsid w:val="003F22A7"/>
    <w:rsid w:val="003F361C"/>
    <w:rsid w:val="003F3CEC"/>
    <w:rsid w:val="003F3D11"/>
    <w:rsid w:val="003F3F99"/>
    <w:rsid w:val="003F4863"/>
    <w:rsid w:val="003F4893"/>
    <w:rsid w:val="003F4990"/>
    <w:rsid w:val="003F49EB"/>
    <w:rsid w:val="003F4AC0"/>
    <w:rsid w:val="003F4D1F"/>
    <w:rsid w:val="003F4E7B"/>
    <w:rsid w:val="003F5639"/>
    <w:rsid w:val="003F569B"/>
    <w:rsid w:val="003F56A8"/>
    <w:rsid w:val="003F5E6C"/>
    <w:rsid w:val="003F5FB5"/>
    <w:rsid w:val="003F614A"/>
    <w:rsid w:val="003F6511"/>
    <w:rsid w:val="003F6BDC"/>
    <w:rsid w:val="003F6CD8"/>
    <w:rsid w:val="003F6D04"/>
    <w:rsid w:val="003F6D10"/>
    <w:rsid w:val="003F7131"/>
    <w:rsid w:val="003F72E6"/>
    <w:rsid w:val="003F734A"/>
    <w:rsid w:val="003F74C8"/>
    <w:rsid w:val="003F7809"/>
    <w:rsid w:val="003F79FF"/>
    <w:rsid w:val="00400E43"/>
    <w:rsid w:val="00400F9C"/>
    <w:rsid w:val="004016E8"/>
    <w:rsid w:val="004018F1"/>
    <w:rsid w:val="00401933"/>
    <w:rsid w:val="00401A73"/>
    <w:rsid w:val="00401AC1"/>
    <w:rsid w:val="00401CBA"/>
    <w:rsid w:val="00401D25"/>
    <w:rsid w:val="00401D27"/>
    <w:rsid w:val="00401D37"/>
    <w:rsid w:val="00401E38"/>
    <w:rsid w:val="00401ED6"/>
    <w:rsid w:val="004020F3"/>
    <w:rsid w:val="00402141"/>
    <w:rsid w:val="00402420"/>
    <w:rsid w:val="00402452"/>
    <w:rsid w:val="004025BF"/>
    <w:rsid w:val="00402C58"/>
    <w:rsid w:val="0040359C"/>
    <w:rsid w:val="00403783"/>
    <w:rsid w:val="00404073"/>
    <w:rsid w:val="00404096"/>
    <w:rsid w:val="00404B2C"/>
    <w:rsid w:val="00404BA0"/>
    <w:rsid w:val="0040523B"/>
    <w:rsid w:val="004053AA"/>
    <w:rsid w:val="00405905"/>
    <w:rsid w:val="00405963"/>
    <w:rsid w:val="00405A4B"/>
    <w:rsid w:val="00405D4C"/>
    <w:rsid w:val="004065D7"/>
    <w:rsid w:val="0040672B"/>
    <w:rsid w:val="00406E02"/>
    <w:rsid w:val="00406F3C"/>
    <w:rsid w:val="004071B8"/>
    <w:rsid w:val="004077BD"/>
    <w:rsid w:val="00407978"/>
    <w:rsid w:val="00407D29"/>
    <w:rsid w:val="00407E4C"/>
    <w:rsid w:val="00407E9B"/>
    <w:rsid w:val="00410376"/>
    <w:rsid w:val="004105EC"/>
    <w:rsid w:val="004106ED"/>
    <w:rsid w:val="0041090D"/>
    <w:rsid w:val="00410977"/>
    <w:rsid w:val="00410B07"/>
    <w:rsid w:val="00410BEC"/>
    <w:rsid w:val="00410F7D"/>
    <w:rsid w:val="0041103D"/>
    <w:rsid w:val="0041165F"/>
    <w:rsid w:val="00411A76"/>
    <w:rsid w:val="00411D7D"/>
    <w:rsid w:val="00411F02"/>
    <w:rsid w:val="0041201D"/>
    <w:rsid w:val="004120EB"/>
    <w:rsid w:val="0041235A"/>
    <w:rsid w:val="004123A4"/>
    <w:rsid w:val="00412449"/>
    <w:rsid w:val="004124B7"/>
    <w:rsid w:val="004127E1"/>
    <w:rsid w:val="00412A73"/>
    <w:rsid w:val="004130F2"/>
    <w:rsid w:val="00413355"/>
    <w:rsid w:val="00413597"/>
    <w:rsid w:val="004135B3"/>
    <w:rsid w:val="004137BB"/>
    <w:rsid w:val="00413BB7"/>
    <w:rsid w:val="00413EE2"/>
    <w:rsid w:val="0041423B"/>
    <w:rsid w:val="00415074"/>
    <w:rsid w:val="004155C8"/>
    <w:rsid w:val="004158A8"/>
    <w:rsid w:val="004159BF"/>
    <w:rsid w:val="00415B87"/>
    <w:rsid w:val="00415C52"/>
    <w:rsid w:val="00415DE2"/>
    <w:rsid w:val="0041602E"/>
    <w:rsid w:val="00416475"/>
    <w:rsid w:val="0041679A"/>
    <w:rsid w:val="004167F6"/>
    <w:rsid w:val="00416911"/>
    <w:rsid w:val="004169B9"/>
    <w:rsid w:val="00416A32"/>
    <w:rsid w:val="00416FD8"/>
    <w:rsid w:val="004175B6"/>
    <w:rsid w:val="00417714"/>
    <w:rsid w:val="00417BB4"/>
    <w:rsid w:val="00417C33"/>
    <w:rsid w:val="00417D16"/>
    <w:rsid w:val="00417E1D"/>
    <w:rsid w:val="00417ECD"/>
    <w:rsid w:val="004203DA"/>
    <w:rsid w:val="00420545"/>
    <w:rsid w:val="00420620"/>
    <w:rsid w:val="004206E3"/>
    <w:rsid w:val="00420AA9"/>
    <w:rsid w:val="00420AF5"/>
    <w:rsid w:val="00420CB5"/>
    <w:rsid w:val="00420F56"/>
    <w:rsid w:val="004213C5"/>
    <w:rsid w:val="00421675"/>
    <w:rsid w:val="00421903"/>
    <w:rsid w:val="00421A7F"/>
    <w:rsid w:val="00421C4D"/>
    <w:rsid w:val="00421D7E"/>
    <w:rsid w:val="00421ED1"/>
    <w:rsid w:val="00422146"/>
    <w:rsid w:val="00422303"/>
    <w:rsid w:val="004225D4"/>
    <w:rsid w:val="00422ED6"/>
    <w:rsid w:val="004231CB"/>
    <w:rsid w:val="00423755"/>
    <w:rsid w:val="004239FF"/>
    <w:rsid w:val="00423A39"/>
    <w:rsid w:val="00423C08"/>
    <w:rsid w:val="00423CB4"/>
    <w:rsid w:val="004243F9"/>
    <w:rsid w:val="004244D4"/>
    <w:rsid w:val="00424647"/>
    <w:rsid w:val="0042490B"/>
    <w:rsid w:val="00425437"/>
    <w:rsid w:val="004256B4"/>
    <w:rsid w:val="00425724"/>
    <w:rsid w:val="00425AC0"/>
    <w:rsid w:val="00425AED"/>
    <w:rsid w:val="00425B7A"/>
    <w:rsid w:val="00425DA0"/>
    <w:rsid w:val="00425DED"/>
    <w:rsid w:val="00425E97"/>
    <w:rsid w:val="00425FCC"/>
    <w:rsid w:val="0042609B"/>
    <w:rsid w:val="00426210"/>
    <w:rsid w:val="00426B03"/>
    <w:rsid w:val="00426B1C"/>
    <w:rsid w:val="00426B82"/>
    <w:rsid w:val="00426F10"/>
    <w:rsid w:val="004279EA"/>
    <w:rsid w:val="00427ED8"/>
    <w:rsid w:val="00427FF2"/>
    <w:rsid w:val="00430489"/>
    <w:rsid w:val="004309C8"/>
    <w:rsid w:val="00430B6C"/>
    <w:rsid w:val="00430B7F"/>
    <w:rsid w:val="00430EA4"/>
    <w:rsid w:val="00430F36"/>
    <w:rsid w:val="00431975"/>
    <w:rsid w:val="00431E54"/>
    <w:rsid w:val="004323D0"/>
    <w:rsid w:val="004324F0"/>
    <w:rsid w:val="00432932"/>
    <w:rsid w:val="00432A85"/>
    <w:rsid w:val="00432A8E"/>
    <w:rsid w:val="00432B1B"/>
    <w:rsid w:val="00432B6E"/>
    <w:rsid w:val="00432E67"/>
    <w:rsid w:val="00432E68"/>
    <w:rsid w:val="00433355"/>
    <w:rsid w:val="00433B74"/>
    <w:rsid w:val="00433B94"/>
    <w:rsid w:val="00433F34"/>
    <w:rsid w:val="00434015"/>
    <w:rsid w:val="00434061"/>
    <w:rsid w:val="00434325"/>
    <w:rsid w:val="0043456C"/>
    <w:rsid w:val="00434932"/>
    <w:rsid w:val="004349F7"/>
    <w:rsid w:val="00434D0D"/>
    <w:rsid w:val="004350BA"/>
    <w:rsid w:val="004356A8"/>
    <w:rsid w:val="00435802"/>
    <w:rsid w:val="004358FA"/>
    <w:rsid w:val="00435A1B"/>
    <w:rsid w:val="00435D51"/>
    <w:rsid w:val="0043643A"/>
    <w:rsid w:val="00436758"/>
    <w:rsid w:val="00436860"/>
    <w:rsid w:val="00436BBA"/>
    <w:rsid w:val="00436D25"/>
    <w:rsid w:val="00437253"/>
    <w:rsid w:val="004375A1"/>
    <w:rsid w:val="00437D34"/>
    <w:rsid w:val="004404A2"/>
    <w:rsid w:val="00440749"/>
    <w:rsid w:val="00440926"/>
    <w:rsid w:val="00440CA4"/>
    <w:rsid w:val="00440F98"/>
    <w:rsid w:val="004416A0"/>
    <w:rsid w:val="00441AF8"/>
    <w:rsid w:val="00441B06"/>
    <w:rsid w:val="00441C7C"/>
    <w:rsid w:val="004423DE"/>
    <w:rsid w:val="004429D3"/>
    <w:rsid w:val="00442A1A"/>
    <w:rsid w:val="00442C1F"/>
    <w:rsid w:val="00442DCC"/>
    <w:rsid w:val="00443449"/>
    <w:rsid w:val="00443AEA"/>
    <w:rsid w:val="00443DAD"/>
    <w:rsid w:val="00443DC1"/>
    <w:rsid w:val="0044408A"/>
    <w:rsid w:val="00444495"/>
    <w:rsid w:val="00444508"/>
    <w:rsid w:val="00444509"/>
    <w:rsid w:val="00445096"/>
    <w:rsid w:val="0044536C"/>
    <w:rsid w:val="004459F5"/>
    <w:rsid w:val="00445DEB"/>
    <w:rsid w:val="00445FBF"/>
    <w:rsid w:val="004461DD"/>
    <w:rsid w:val="0044666B"/>
    <w:rsid w:val="0044694C"/>
    <w:rsid w:val="00446A13"/>
    <w:rsid w:val="00446AD8"/>
    <w:rsid w:val="004474D4"/>
    <w:rsid w:val="00447576"/>
    <w:rsid w:val="004476D1"/>
    <w:rsid w:val="00447A29"/>
    <w:rsid w:val="00447B32"/>
    <w:rsid w:val="00447C6E"/>
    <w:rsid w:val="00447EA3"/>
    <w:rsid w:val="0045012B"/>
    <w:rsid w:val="004508A8"/>
    <w:rsid w:val="00450DD9"/>
    <w:rsid w:val="00450FD5"/>
    <w:rsid w:val="00451137"/>
    <w:rsid w:val="0045113B"/>
    <w:rsid w:val="004513DB"/>
    <w:rsid w:val="004514A2"/>
    <w:rsid w:val="00451B4C"/>
    <w:rsid w:val="00451FAA"/>
    <w:rsid w:val="00452C7F"/>
    <w:rsid w:val="00452F7A"/>
    <w:rsid w:val="004535F3"/>
    <w:rsid w:val="00453AA8"/>
    <w:rsid w:val="004541EE"/>
    <w:rsid w:val="004541FD"/>
    <w:rsid w:val="0045489F"/>
    <w:rsid w:val="00454AF8"/>
    <w:rsid w:val="00454BC1"/>
    <w:rsid w:val="00454D1F"/>
    <w:rsid w:val="0045558E"/>
    <w:rsid w:val="0045580C"/>
    <w:rsid w:val="004559EF"/>
    <w:rsid w:val="00455B62"/>
    <w:rsid w:val="004560DB"/>
    <w:rsid w:val="00456138"/>
    <w:rsid w:val="004567AC"/>
    <w:rsid w:val="00456CDB"/>
    <w:rsid w:val="00457730"/>
    <w:rsid w:val="00457ACC"/>
    <w:rsid w:val="004600F6"/>
    <w:rsid w:val="00460457"/>
    <w:rsid w:val="00460605"/>
    <w:rsid w:val="00460B08"/>
    <w:rsid w:val="00460D19"/>
    <w:rsid w:val="00461421"/>
    <w:rsid w:val="004617BA"/>
    <w:rsid w:val="00461B32"/>
    <w:rsid w:val="00461E39"/>
    <w:rsid w:val="00461E7A"/>
    <w:rsid w:val="0046251E"/>
    <w:rsid w:val="0046299E"/>
    <w:rsid w:val="00462C08"/>
    <w:rsid w:val="00462C4E"/>
    <w:rsid w:val="004639FB"/>
    <w:rsid w:val="00463A4F"/>
    <w:rsid w:val="00463E09"/>
    <w:rsid w:val="00464124"/>
    <w:rsid w:val="004643BC"/>
    <w:rsid w:val="0046482D"/>
    <w:rsid w:val="00464EF5"/>
    <w:rsid w:val="00464F80"/>
    <w:rsid w:val="00464FF5"/>
    <w:rsid w:val="00464FFD"/>
    <w:rsid w:val="004651F3"/>
    <w:rsid w:val="004656C0"/>
    <w:rsid w:val="00465E50"/>
    <w:rsid w:val="00465EB9"/>
    <w:rsid w:val="00465EED"/>
    <w:rsid w:val="00465FDA"/>
    <w:rsid w:val="0046604F"/>
    <w:rsid w:val="00466A69"/>
    <w:rsid w:val="00466BDF"/>
    <w:rsid w:val="004676F6"/>
    <w:rsid w:val="00467933"/>
    <w:rsid w:val="00467A80"/>
    <w:rsid w:val="00467DBB"/>
    <w:rsid w:val="0047006B"/>
    <w:rsid w:val="0047052B"/>
    <w:rsid w:val="00470865"/>
    <w:rsid w:val="00470A44"/>
    <w:rsid w:val="00470DF2"/>
    <w:rsid w:val="00470E31"/>
    <w:rsid w:val="00470EB6"/>
    <w:rsid w:val="0047136E"/>
    <w:rsid w:val="004713E7"/>
    <w:rsid w:val="0047143B"/>
    <w:rsid w:val="00471561"/>
    <w:rsid w:val="00471613"/>
    <w:rsid w:val="00471A4D"/>
    <w:rsid w:val="00471AB2"/>
    <w:rsid w:val="00471E45"/>
    <w:rsid w:val="00471E6F"/>
    <w:rsid w:val="00471F85"/>
    <w:rsid w:val="00472019"/>
    <w:rsid w:val="00472254"/>
    <w:rsid w:val="004723FC"/>
    <w:rsid w:val="00472862"/>
    <w:rsid w:val="004730F6"/>
    <w:rsid w:val="004732E0"/>
    <w:rsid w:val="00473874"/>
    <w:rsid w:val="00473ACF"/>
    <w:rsid w:val="00474027"/>
    <w:rsid w:val="004742D9"/>
    <w:rsid w:val="00474822"/>
    <w:rsid w:val="004748AB"/>
    <w:rsid w:val="00474945"/>
    <w:rsid w:val="00474E36"/>
    <w:rsid w:val="00474E52"/>
    <w:rsid w:val="004756C6"/>
    <w:rsid w:val="00475974"/>
    <w:rsid w:val="00475B31"/>
    <w:rsid w:val="00475EF0"/>
    <w:rsid w:val="00476048"/>
    <w:rsid w:val="004760BA"/>
    <w:rsid w:val="0047614F"/>
    <w:rsid w:val="00476619"/>
    <w:rsid w:val="00476711"/>
    <w:rsid w:val="00477748"/>
    <w:rsid w:val="00477957"/>
    <w:rsid w:val="00477A5B"/>
    <w:rsid w:val="00480EB2"/>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909"/>
    <w:rsid w:val="00484A4E"/>
    <w:rsid w:val="00484ABB"/>
    <w:rsid w:val="00484F00"/>
    <w:rsid w:val="004851FE"/>
    <w:rsid w:val="00485453"/>
    <w:rsid w:val="0048546D"/>
    <w:rsid w:val="00485A12"/>
    <w:rsid w:val="00485CF8"/>
    <w:rsid w:val="00485EC3"/>
    <w:rsid w:val="00485FDE"/>
    <w:rsid w:val="0048614A"/>
    <w:rsid w:val="00486649"/>
    <w:rsid w:val="0048666F"/>
    <w:rsid w:val="004868BD"/>
    <w:rsid w:val="00486F36"/>
    <w:rsid w:val="00486F51"/>
    <w:rsid w:val="004871D6"/>
    <w:rsid w:val="00487AB9"/>
    <w:rsid w:val="00487D6E"/>
    <w:rsid w:val="004903B1"/>
    <w:rsid w:val="00490A4A"/>
    <w:rsid w:val="00490BD2"/>
    <w:rsid w:val="00490FC5"/>
    <w:rsid w:val="00491072"/>
    <w:rsid w:val="0049192C"/>
    <w:rsid w:val="00491BC4"/>
    <w:rsid w:val="00491BE4"/>
    <w:rsid w:val="00491D4B"/>
    <w:rsid w:val="00491F82"/>
    <w:rsid w:val="004921DD"/>
    <w:rsid w:val="0049220C"/>
    <w:rsid w:val="00492783"/>
    <w:rsid w:val="0049283C"/>
    <w:rsid w:val="00493428"/>
    <w:rsid w:val="0049365E"/>
    <w:rsid w:val="00493A57"/>
    <w:rsid w:val="00493AC0"/>
    <w:rsid w:val="00493C5A"/>
    <w:rsid w:val="00493FBF"/>
    <w:rsid w:val="004942B5"/>
    <w:rsid w:val="00494DAD"/>
    <w:rsid w:val="004959DC"/>
    <w:rsid w:val="00495A36"/>
    <w:rsid w:val="00495A78"/>
    <w:rsid w:val="00495FFC"/>
    <w:rsid w:val="0049611A"/>
    <w:rsid w:val="00496199"/>
    <w:rsid w:val="0049623F"/>
    <w:rsid w:val="004964F6"/>
    <w:rsid w:val="0049652D"/>
    <w:rsid w:val="004967C5"/>
    <w:rsid w:val="004973CB"/>
    <w:rsid w:val="004975D3"/>
    <w:rsid w:val="00497A05"/>
    <w:rsid w:val="004A0DF3"/>
    <w:rsid w:val="004A13A5"/>
    <w:rsid w:val="004A193A"/>
    <w:rsid w:val="004A1BBA"/>
    <w:rsid w:val="004A2072"/>
    <w:rsid w:val="004A211E"/>
    <w:rsid w:val="004A28DE"/>
    <w:rsid w:val="004A294B"/>
    <w:rsid w:val="004A2E90"/>
    <w:rsid w:val="004A3338"/>
    <w:rsid w:val="004A35E0"/>
    <w:rsid w:val="004A3B43"/>
    <w:rsid w:val="004A4236"/>
    <w:rsid w:val="004A446A"/>
    <w:rsid w:val="004A44C5"/>
    <w:rsid w:val="004A4D2F"/>
    <w:rsid w:val="004A52D6"/>
    <w:rsid w:val="004A574E"/>
    <w:rsid w:val="004A5940"/>
    <w:rsid w:val="004A627E"/>
    <w:rsid w:val="004A6374"/>
    <w:rsid w:val="004A6626"/>
    <w:rsid w:val="004A6663"/>
    <w:rsid w:val="004A6853"/>
    <w:rsid w:val="004A68A5"/>
    <w:rsid w:val="004A6D0F"/>
    <w:rsid w:val="004A6FC8"/>
    <w:rsid w:val="004A7278"/>
    <w:rsid w:val="004A764F"/>
    <w:rsid w:val="004A7B02"/>
    <w:rsid w:val="004A7B47"/>
    <w:rsid w:val="004A7B8D"/>
    <w:rsid w:val="004B00CD"/>
    <w:rsid w:val="004B0131"/>
    <w:rsid w:val="004B022E"/>
    <w:rsid w:val="004B062D"/>
    <w:rsid w:val="004B07E8"/>
    <w:rsid w:val="004B0CFF"/>
    <w:rsid w:val="004B0EA3"/>
    <w:rsid w:val="004B10E6"/>
    <w:rsid w:val="004B111F"/>
    <w:rsid w:val="004B1211"/>
    <w:rsid w:val="004B2CA3"/>
    <w:rsid w:val="004B2E8B"/>
    <w:rsid w:val="004B2F86"/>
    <w:rsid w:val="004B33E4"/>
    <w:rsid w:val="004B35E9"/>
    <w:rsid w:val="004B36DA"/>
    <w:rsid w:val="004B394D"/>
    <w:rsid w:val="004B3A98"/>
    <w:rsid w:val="004B3B7F"/>
    <w:rsid w:val="004B3BF8"/>
    <w:rsid w:val="004B4635"/>
    <w:rsid w:val="004B49EC"/>
    <w:rsid w:val="004B5039"/>
    <w:rsid w:val="004B561B"/>
    <w:rsid w:val="004B5A24"/>
    <w:rsid w:val="004B5A8F"/>
    <w:rsid w:val="004B5EAA"/>
    <w:rsid w:val="004B60B9"/>
    <w:rsid w:val="004B6FB0"/>
    <w:rsid w:val="004B722E"/>
    <w:rsid w:val="004B72C1"/>
    <w:rsid w:val="004C02F1"/>
    <w:rsid w:val="004C0362"/>
    <w:rsid w:val="004C0485"/>
    <w:rsid w:val="004C0BCE"/>
    <w:rsid w:val="004C0C66"/>
    <w:rsid w:val="004C0D32"/>
    <w:rsid w:val="004C0F9B"/>
    <w:rsid w:val="004C120F"/>
    <w:rsid w:val="004C1282"/>
    <w:rsid w:val="004C1AC5"/>
    <w:rsid w:val="004C1E26"/>
    <w:rsid w:val="004C1E5A"/>
    <w:rsid w:val="004C1FC2"/>
    <w:rsid w:val="004C2078"/>
    <w:rsid w:val="004C23A0"/>
    <w:rsid w:val="004C2741"/>
    <w:rsid w:val="004C278E"/>
    <w:rsid w:val="004C27F1"/>
    <w:rsid w:val="004C28FA"/>
    <w:rsid w:val="004C30CB"/>
    <w:rsid w:val="004C3A36"/>
    <w:rsid w:val="004C3D63"/>
    <w:rsid w:val="004C412C"/>
    <w:rsid w:val="004C4219"/>
    <w:rsid w:val="004C4796"/>
    <w:rsid w:val="004C4C21"/>
    <w:rsid w:val="004C4E18"/>
    <w:rsid w:val="004C4EFD"/>
    <w:rsid w:val="004C525C"/>
    <w:rsid w:val="004C52F9"/>
    <w:rsid w:val="004C5631"/>
    <w:rsid w:val="004C589A"/>
    <w:rsid w:val="004C5984"/>
    <w:rsid w:val="004C5CE8"/>
    <w:rsid w:val="004C5F38"/>
    <w:rsid w:val="004C61A1"/>
    <w:rsid w:val="004C6290"/>
    <w:rsid w:val="004C66C7"/>
    <w:rsid w:val="004C6F2C"/>
    <w:rsid w:val="004C75F5"/>
    <w:rsid w:val="004C77EE"/>
    <w:rsid w:val="004D07F6"/>
    <w:rsid w:val="004D0A7F"/>
    <w:rsid w:val="004D11BC"/>
    <w:rsid w:val="004D18DA"/>
    <w:rsid w:val="004D1CBD"/>
    <w:rsid w:val="004D1ED3"/>
    <w:rsid w:val="004D1F46"/>
    <w:rsid w:val="004D202C"/>
    <w:rsid w:val="004D2489"/>
    <w:rsid w:val="004D2648"/>
    <w:rsid w:val="004D26FD"/>
    <w:rsid w:val="004D273F"/>
    <w:rsid w:val="004D291C"/>
    <w:rsid w:val="004D34CA"/>
    <w:rsid w:val="004D3724"/>
    <w:rsid w:val="004D395B"/>
    <w:rsid w:val="004D4106"/>
    <w:rsid w:val="004D4529"/>
    <w:rsid w:val="004D487E"/>
    <w:rsid w:val="004D4ACB"/>
    <w:rsid w:val="004D51FA"/>
    <w:rsid w:val="004D55F2"/>
    <w:rsid w:val="004D5803"/>
    <w:rsid w:val="004D5867"/>
    <w:rsid w:val="004D587F"/>
    <w:rsid w:val="004D5BB2"/>
    <w:rsid w:val="004D5D1A"/>
    <w:rsid w:val="004D5D2F"/>
    <w:rsid w:val="004D5D79"/>
    <w:rsid w:val="004D600D"/>
    <w:rsid w:val="004D6331"/>
    <w:rsid w:val="004D6A6F"/>
    <w:rsid w:val="004D6AEA"/>
    <w:rsid w:val="004D79B1"/>
    <w:rsid w:val="004D7B0F"/>
    <w:rsid w:val="004D7CFD"/>
    <w:rsid w:val="004D7D67"/>
    <w:rsid w:val="004E0343"/>
    <w:rsid w:val="004E0357"/>
    <w:rsid w:val="004E0770"/>
    <w:rsid w:val="004E0A8C"/>
    <w:rsid w:val="004E0EA4"/>
    <w:rsid w:val="004E111C"/>
    <w:rsid w:val="004E18AB"/>
    <w:rsid w:val="004E1A4C"/>
    <w:rsid w:val="004E276C"/>
    <w:rsid w:val="004E27A6"/>
    <w:rsid w:val="004E33B0"/>
    <w:rsid w:val="004E3690"/>
    <w:rsid w:val="004E3A18"/>
    <w:rsid w:val="004E4274"/>
    <w:rsid w:val="004E427E"/>
    <w:rsid w:val="004E4484"/>
    <w:rsid w:val="004E4626"/>
    <w:rsid w:val="004E46F6"/>
    <w:rsid w:val="004E4733"/>
    <w:rsid w:val="004E4797"/>
    <w:rsid w:val="004E49C7"/>
    <w:rsid w:val="004E4B1D"/>
    <w:rsid w:val="004E50E3"/>
    <w:rsid w:val="004E5180"/>
    <w:rsid w:val="004E5438"/>
    <w:rsid w:val="004E5688"/>
    <w:rsid w:val="004E5B05"/>
    <w:rsid w:val="004E5BE2"/>
    <w:rsid w:val="004E6686"/>
    <w:rsid w:val="004E6C70"/>
    <w:rsid w:val="004E6D72"/>
    <w:rsid w:val="004E6F1C"/>
    <w:rsid w:val="004E71BF"/>
    <w:rsid w:val="004E72BE"/>
    <w:rsid w:val="004E7777"/>
    <w:rsid w:val="004E7A11"/>
    <w:rsid w:val="004E7DDD"/>
    <w:rsid w:val="004E7E80"/>
    <w:rsid w:val="004F0402"/>
    <w:rsid w:val="004F0475"/>
    <w:rsid w:val="004F06A8"/>
    <w:rsid w:val="004F08A5"/>
    <w:rsid w:val="004F0EA3"/>
    <w:rsid w:val="004F0F5F"/>
    <w:rsid w:val="004F1036"/>
    <w:rsid w:val="004F1721"/>
    <w:rsid w:val="004F1952"/>
    <w:rsid w:val="004F1B8E"/>
    <w:rsid w:val="004F206D"/>
    <w:rsid w:val="004F2160"/>
    <w:rsid w:val="004F236E"/>
    <w:rsid w:val="004F26B0"/>
    <w:rsid w:val="004F275E"/>
    <w:rsid w:val="004F2CF6"/>
    <w:rsid w:val="004F2EEE"/>
    <w:rsid w:val="004F317D"/>
    <w:rsid w:val="004F34B8"/>
    <w:rsid w:val="004F398E"/>
    <w:rsid w:val="004F3C80"/>
    <w:rsid w:val="004F425C"/>
    <w:rsid w:val="004F44F5"/>
    <w:rsid w:val="004F4635"/>
    <w:rsid w:val="004F466B"/>
    <w:rsid w:val="004F47B9"/>
    <w:rsid w:val="004F48D3"/>
    <w:rsid w:val="004F4C5B"/>
    <w:rsid w:val="004F4FA5"/>
    <w:rsid w:val="004F4FEB"/>
    <w:rsid w:val="004F52EC"/>
    <w:rsid w:val="004F5506"/>
    <w:rsid w:val="004F555F"/>
    <w:rsid w:val="004F5B9D"/>
    <w:rsid w:val="004F5F3C"/>
    <w:rsid w:val="004F61B7"/>
    <w:rsid w:val="004F6307"/>
    <w:rsid w:val="004F691C"/>
    <w:rsid w:val="004F6C18"/>
    <w:rsid w:val="004F6D60"/>
    <w:rsid w:val="004F6FE6"/>
    <w:rsid w:val="004F7180"/>
    <w:rsid w:val="004F7698"/>
    <w:rsid w:val="004F7832"/>
    <w:rsid w:val="004F7981"/>
    <w:rsid w:val="004F7AF8"/>
    <w:rsid w:val="005005B2"/>
    <w:rsid w:val="00500993"/>
    <w:rsid w:val="005009E7"/>
    <w:rsid w:val="00500A9D"/>
    <w:rsid w:val="00500AED"/>
    <w:rsid w:val="00500BCA"/>
    <w:rsid w:val="00500BD9"/>
    <w:rsid w:val="005010CE"/>
    <w:rsid w:val="005010D5"/>
    <w:rsid w:val="005019C1"/>
    <w:rsid w:val="00501A5B"/>
    <w:rsid w:val="00501C42"/>
    <w:rsid w:val="00501FAE"/>
    <w:rsid w:val="005022DC"/>
    <w:rsid w:val="00502991"/>
    <w:rsid w:val="005029EA"/>
    <w:rsid w:val="00502B83"/>
    <w:rsid w:val="00502C39"/>
    <w:rsid w:val="00502CE8"/>
    <w:rsid w:val="0050352B"/>
    <w:rsid w:val="00503C4F"/>
    <w:rsid w:val="005046FC"/>
    <w:rsid w:val="00504CBF"/>
    <w:rsid w:val="00504D4B"/>
    <w:rsid w:val="005052E6"/>
    <w:rsid w:val="005054CE"/>
    <w:rsid w:val="00505513"/>
    <w:rsid w:val="005055AD"/>
    <w:rsid w:val="00505A02"/>
    <w:rsid w:val="00505A25"/>
    <w:rsid w:val="00505C93"/>
    <w:rsid w:val="005060C0"/>
    <w:rsid w:val="005066ED"/>
    <w:rsid w:val="00506809"/>
    <w:rsid w:val="00506C0D"/>
    <w:rsid w:val="005071B5"/>
    <w:rsid w:val="005072A3"/>
    <w:rsid w:val="005073BD"/>
    <w:rsid w:val="005074A1"/>
    <w:rsid w:val="005078A9"/>
    <w:rsid w:val="00507D67"/>
    <w:rsid w:val="005100B9"/>
    <w:rsid w:val="005104E5"/>
    <w:rsid w:val="00510624"/>
    <w:rsid w:val="0051063D"/>
    <w:rsid w:val="005108FD"/>
    <w:rsid w:val="00510E9D"/>
    <w:rsid w:val="00510E9E"/>
    <w:rsid w:val="0051168F"/>
    <w:rsid w:val="00511695"/>
    <w:rsid w:val="00511AA6"/>
    <w:rsid w:val="00511D35"/>
    <w:rsid w:val="00511D69"/>
    <w:rsid w:val="00512064"/>
    <w:rsid w:val="0051213E"/>
    <w:rsid w:val="00512229"/>
    <w:rsid w:val="00512C7E"/>
    <w:rsid w:val="00513571"/>
    <w:rsid w:val="00513F0E"/>
    <w:rsid w:val="005140DD"/>
    <w:rsid w:val="0051412A"/>
    <w:rsid w:val="005144CB"/>
    <w:rsid w:val="005147EC"/>
    <w:rsid w:val="00514DE6"/>
    <w:rsid w:val="005153D7"/>
    <w:rsid w:val="00515AA5"/>
    <w:rsid w:val="00516615"/>
    <w:rsid w:val="00516959"/>
    <w:rsid w:val="005169FE"/>
    <w:rsid w:val="005171B2"/>
    <w:rsid w:val="00517372"/>
    <w:rsid w:val="0051756A"/>
    <w:rsid w:val="005177D9"/>
    <w:rsid w:val="00517EB6"/>
    <w:rsid w:val="005203BD"/>
    <w:rsid w:val="00520D81"/>
    <w:rsid w:val="00520EA3"/>
    <w:rsid w:val="00521000"/>
    <w:rsid w:val="005210BF"/>
    <w:rsid w:val="00521384"/>
    <w:rsid w:val="00521472"/>
    <w:rsid w:val="00521AA6"/>
    <w:rsid w:val="00521B0C"/>
    <w:rsid w:val="0052214D"/>
    <w:rsid w:val="005226FB"/>
    <w:rsid w:val="00522C57"/>
    <w:rsid w:val="00522C59"/>
    <w:rsid w:val="00522E13"/>
    <w:rsid w:val="00522E54"/>
    <w:rsid w:val="005238BE"/>
    <w:rsid w:val="00523B67"/>
    <w:rsid w:val="00523EAB"/>
    <w:rsid w:val="005240D7"/>
    <w:rsid w:val="0052427A"/>
    <w:rsid w:val="005243CA"/>
    <w:rsid w:val="00524881"/>
    <w:rsid w:val="00524BE4"/>
    <w:rsid w:val="00524D8B"/>
    <w:rsid w:val="00524EF6"/>
    <w:rsid w:val="00525A45"/>
    <w:rsid w:val="00526407"/>
    <w:rsid w:val="0052642A"/>
    <w:rsid w:val="005264A6"/>
    <w:rsid w:val="005266AC"/>
    <w:rsid w:val="00526A1C"/>
    <w:rsid w:val="00526ACD"/>
    <w:rsid w:val="00526D13"/>
    <w:rsid w:val="00526DCA"/>
    <w:rsid w:val="0052712B"/>
    <w:rsid w:val="00527567"/>
    <w:rsid w:val="0053043D"/>
    <w:rsid w:val="0053046D"/>
    <w:rsid w:val="0053075E"/>
    <w:rsid w:val="0053079D"/>
    <w:rsid w:val="00530AB1"/>
    <w:rsid w:val="00530E63"/>
    <w:rsid w:val="005310D4"/>
    <w:rsid w:val="005319C7"/>
    <w:rsid w:val="00531B2A"/>
    <w:rsid w:val="00531E8E"/>
    <w:rsid w:val="0053256F"/>
    <w:rsid w:val="00532943"/>
    <w:rsid w:val="00532C0D"/>
    <w:rsid w:val="005335A3"/>
    <w:rsid w:val="005337BB"/>
    <w:rsid w:val="005339F1"/>
    <w:rsid w:val="00533B78"/>
    <w:rsid w:val="00533FC9"/>
    <w:rsid w:val="0053411B"/>
    <w:rsid w:val="00534409"/>
    <w:rsid w:val="005344D2"/>
    <w:rsid w:val="005345DE"/>
    <w:rsid w:val="00534655"/>
    <w:rsid w:val="005346DF"/>
    <w:rsid w:val="00534A08"/>
    <w:rsid w:val="0053524F"/>
    <w:rsid w:val="005359C9"/>
    <w:rsid w:val="00535C8E"/>
    <w:rsid w:val="00536101"/>
    <w:rsid w:val="00536135"/>
    <w:rsid w:val="005362EC"/>
    <w:rsid w:val="00536602"/>
    <w:rsid w:val="00536755"/>
    <w:rsid w:val="00536978"/>
    <w:rsid w:val="005370CE"/>
    <w:rsid w:val="0053731C"/>
    <w:rsid w:val="0053731D"/>
    <w:rsid w:val="00537340"/>
    <w:rsid w:val="00537574"/>
    <w:rsid w:val="005377E2"/>
    <w:rsid w:val="0054029C"/>
    <w:rsid w:val="00540326"/>
    <w:rsid w:val="0054037E"/>
    <w:rsid w:val="00540397"/>
    <w:rsid w:val="00540997"/>
    <w:rsid w:val="00541120"/>
    <w:rsid w:val="00541314"/>
    <w:rsid w:val="00541C8C"/>
    <w:rsid w:val="00541EE6"/>
    <w:rsid w:val="00542C96"/>
    <w:rsid w:val="00542D7D"/>
    <w:rsid w:val="00542EAB"/>
    <w:rsid w:val="00543451"/>
    <w:rsid w:val="005436DD"/>
    <w:rsid w:val="00543A24"/>
    <w:rsid w:val="00543A6E"/>
    <w:rsid w:val="005445B1"/>
    <w:rsid w:val="005445FE"/>
    <w:rsid w:val="0054464D"/>
    <w:rsid w:val="0054465F"/>
    <w:rsid w:val="00544853"/>
    <w:rsid w:val="00544980"/>
    <w:rsid w:val="00544C51"/>
    <w:rsid w:val="0054520D"/>
    <w:rsid w:val="005453D3"/>
    <w:rsid w:val="005455AE"/>
    <w:rsid w:val="00545DA7"/>
    <w:rsid w:val="00545FB1"/>
    <w:rsid w:val="005460F4"/>
    <w:rsid w:val="005462CD"/>
    <w:rsid w:val="00546304"/>
    <w:rsid w:val="005466E7"/>
    <w:rsid w:val="0054673E"/>
    <w:rsid w:val="00546778"/>
    <w:rsid w:val="005468A8"/>
    <w:rsid w:val="00546C96"/>
    <w:rsid w:val="00546D8B"/>
    <w:rsid w:val="00547374"/>
    <w:rsid w:val="00547470"/>
    <w:rsid w:val="00547531"/>
    <w:rsid w:val="0054762D"/>
    <w:rsid w:val="00547BE3"/>
    <w:rsid w:val="00547CA8"/>
    <w:rsid w:val="00547CC6"/>
    <w:rsid w:val="00547DD7"/>
    <w:rsid w:val="00550236"/>
    <w:rsid w:val="0055059F"/>
    <w:rsid w:val="00550A00"/>
    <w:rsid w:val="005512C8"/>
    <w:rsid w:val="005514CC"/>
    <w:rsid w:val="005518A0"/>
    <w:rsid w:val="00551954"/>
    <w:rsid w:val="00551AAC"/>
    <w:rsid w:val="005526FE"/>
    <w:rsid w:val="0055270E"/>
    <w:rsid w:val="005528A9"/>
    <w:rsid w:val="00552FB7"/>
    <w:rsid w:val="005531E1"/>
    <w:rsid w:val="005539F0"/>
    <w:rsid w:val="00553C86"/>
    <w:rsid w:val="00553F99"/>
    <w:rsid w:val="00554512"/>
    <w:rsid w:val="00554C9E"/>
    <w:rsid w:val="005556C6"/>
    <w:rsid w:val="00555EF9"/>
    <w:rsid w:val="005561B1"/>
    <w:rsid w:val="00556490"/>
    <w:rsid w:val="00556572"/>
    <w:rsid w:val="00556E69"/>
    <w:rsid w:val="0055730B"/>
    <w:rsid w:val="005574A0"/>
    <w:rsid w:val="00557931"/>
    <w:rsid w:val="00557C08"/>
    <w:rsid w:val="00557C0C"/>
    <w:rsid w:val="00557CC0"/>
    <w:rsid w:val="00557CC8"/>
    <w:rsid w:val="005601CC"/>
    <w:rsid w:val="00560461"/>
    <w:rsid w:val="005605B2"/>
    <w:rsid w:val="00560CE7"/>
    <w:rsid w:val="005610F5"/>
    <w:rsid w:val="005614DB"/>
    <w:rsid w:val="00562072"/>
    <w:rsid w:val="0056233E"/>
    <w:rsid w:val="00563272"/>
    <w:rsid w:val="00563469"/>
    <w:rsid w:val="00563790"/>
    <w:rsid w:val="005637A4"/>
    <w:rsid w:val="005637CE"/>
    <w:rsid w:val="005639EE"/>
    <w:rsid w:val="00563A79"/>
    <w:rsid w:val="00563C1C"/>
    <w:rsid w:val="00563D5A"/>
    <w:rsid w:val="00563D88"/>
    <w:rsid w:val="0056464C"/>
    <w:rsid w:val="00564E6B"/>
    <w:rsid w:val="005654C9"/>
    <w:rsid w:val="0056555F"/>
    <w:rsid w:val="00565EE7"/>
    <w:rsid w:val="005661E3"/>
    <w:rsid w:val="0056632A"/>
    <w:rsid w:val="00566441"/>
    <w:rsid w:val="00566DFE"/>
    <w:rsid w:val="005673E1"/>
    <w:rsid w:val="005675A6"/>
    <w:rsid w:val="005675C6"/>
    <w:rsid w:val="0056782D"/>
    <w:rsid w:val="005679BA"/>
    <w:rsid w:val="005679BE"/>
    <w:rsid w:val="00567F2B"/>
    <w:rsid w:val="00570020"/>
    <w:rsid w:val="005701C2"/>
    <w:rsid w:val="005704F0"/>
    <w:rsid w:val="00570C7E"/>
    <w:rsid w:val="00571235"/>
    <w:rsid w:val="00571242"/>
    <w:rsid w:val="0057158B"/>
    <w:rsid w:val="0057162B"/>
    <w:rsid w:val="005716D4"/>
    <w:rsid w:val="00572214"/>
    <w:rsid w:val="00572550"/>
    <w:rsid w:val="0057292F"/>
    <w:rsid w:val="005729FA"/>
    <w:rsid w:val="00572A47"/>
    <w:rsid w:val="00572D62"/>
    <w:rsid w:val="00572D6D"/>
    <w:rsid w:val="00572E69"/>
    <w:rsid w:val="00572EA3"/>
    <w:rsid w:val="00573016"/>
    <w:rsid w:val="00573181"/>
    <w:rsid w:val="005737CF"/>
    <w:rsid w:val="00573BAC"/>
    <w:rsid w:val="00573E5F"/>
    <w:rsid w:val="00573F4E"/>
    <w:rsid w:val="00573F76"/>
    <w:rsid w:val="005740EC"/>
    <w:rsid w:val="00574441"/>
    <w:rsid w:val="0057454F"/>
    <w:rsid w:val="00574AB0"/>
    <w:rsid w:val="00574C3C"/>
    <w:rsid w:val="00575956"/>
    <w:rsid w:val="00575A26"/>
    <w:rsid w:val="00575F7E"/>
    <w:rsid w:val="00576354"/>
    <w:rsid w:val="00576826"/>
    <w:rsid w:val="00576895"/>
    <w:rsid w:val="00576B3A"/>
    <w:rsid w:val="00576F67"/>
    <w:rsid w:val="005771E7"/>
    <w:rsid w:val="005779B1"/>
    <w:rsid w:val="00577ADB"/>
    <w:rsid w:val="005800AF"/>
    <w:rsid w:val="005801FE"/>
    <w:rsid w:val="00580416"/>
    <w:rsid w:val="00581193"/>
    <w:rsid w:val="00581337"/>
    <w:rsid w:val="005816BC"/>
    <w:rsid w:val="00581858"/>
    <w:rsid w:val="0058195D"/>
    <w:rsid w:val="00581DB5"/>
    <w:rsid w:val="00581F34"/>
    <w:rsid w:val="00582346"/>
    <w:rsid w:val="00582646"/>
    <w:rsid w:val="00582805"/>
    <w:rsid w:val="00582F15"/>
    <w:rsid w:val="005830D0"/>
    <w:rsid w:val="00583169"/>
    <w:rsid w:val="00583190"/>
    <w:rsid w:val="005837E9"/>
    <w:rsid w:val="005838F8"/>
    <w:rsid w:val="00583C20"/>
    <w:rsid w:val="00583D76"/>
    <w:rsid w:val="00583DA9"/>
    <w:rsid w:val="00583EED"/>
    <w:rsid w:val="00584034"/>
    <w:rsid w:val="005842A7"/>
    <w:rsid w:val="00584391"/>
    <w:rsid w:val="00584585"/>
    <w:rsid w:val="0058509F"/>
    <w:rsid w:val="0058520D"/>
    <w:rsid w:val="005853DA"/>
    <w:rsid w:val="0058559D"/>
    <w:rsid w:val="00585B3C"/>
    <w:rsid w:val="00585FB4"/>
    <w:rsid w:val="00586C8D"/>
    <w:rsid w:val="0058705F"/>
    <w:rsid w:val="00587264"/>
    <w:rsid w:val="00587A4F"/>
    <w:rsid w:val="00587B52"/>
    <w:rsid w:val="00587BB0"/>
    <w:rsid w:val="00587CCF"/>
    <w:rsid w:val="00587E62"/>
    <w:rsid w:val="0059033A"/>
    <w:rsid w:val="005905D1"/>
    <w:rsid w:val="005905E0"/>
    <w:rsid w:val="005908DD"/>
    <w:rsid w:val="00590D52"/>
    <w:rsid w:val="00590E4F"/>
    <w:rsid w:val="005913FC"/>
    <w:rsid w:val="00591818"/>
    <w:rsid w:val="00591F9B"/>
    <w:rsid w:val="00592122"/>
    <w:rsid w:val="00592224"/>
    <w:rsid w:val="005923EC"/>
    <w:rsid w:val="00592801"/>
    <w:rsid w:val="00593095"/>
    <w:rsid w:val="005933C1"/>
    <w:rsid w:val="00593F10"/>
    <w:rsid w:val="005942FC"/>
    <w:rsid w:val="0059435E"/>
    <w:rsid w:val="00594AA5"/>
    <w:rsid w:val="00594B0B"/>
    <w:rsid w:val="00594D50"/>
    <w:rsid w:val="00595312"/>
    <w:rsid w:val="00595A23"/>
    <w:rsid w:val="00596E06"/>
    <w:rsid w:val="00597943"/>
    <w:rsid w:val="0059798F"/>
    <w:rsid w:val="00597A0D"/>
    <w:rsid w:val="00597F7B"/>
    <w:rsid w:val="005A023F"/>
    <w:rsid w:val="005A0734"/>
    <w:rsid w:val="005A08EA"/>
    <w:rsid w:val="005A0CCB"/>
    <w:rsid w:val="005A0F92"/>
    <w:rsid w:val="005A11ED"/>
    <w:rsid w:val="005A1483"/>
    <w:rsid w:val="005A173C"/>
    <w:rsid w:val="005A1C99"/>
    <w:rsid w:val="005A1DFE"/>
    <w:rsid w:val="005A2CBF"/>
    <w:rsid w:val="005A2D80"/>
    <w:rsid w:val="005A31E3"/>
    <w:rsid w:val="005A3318"/>
    <w:rsid w:val="005A3340"/>
    <w:rsid w:val="005A36A9"/>
    <w:rsid w:val="005A3C94"/>
    <w:rsid w:val="005A40D1"/>
    <w:rsid w:val="005A4647"/>
    <w:rsid w:val="005A4D17"/>
    <w:rsid w:val="005A5553"/>
    <w:rsid w:val="005A5619"/>
    <w:rsid w:val="005A5759"/>
    <w:rsid w:val="005A58B8"/>
    <w:rsid w:val="005A5A04"/>
    <w:rsid w:val="005A6164"/>
    <w:rsid w:val="005A64A9"/>
    <w:rsid w:val="005A6733"/>
    <w:rsid w:val="005A6943"/>
    <w:rsid w:val="005A6A4A"/>
    <w:rsid w:val="005A6BE6"/>
    <w:rsid w:val="005A6F96"/>
    <w:rsid w:val="005A73AC"/>
    <w:rsid w:val="005A73C1"/>
    <w:rsid w:val="005A7610"/>
    <w:rsid w:val="005A7622"/>
    <w:rsid w:val="005A766C"/>
    <w:rsid w:val="005A7678"/>
    <w:rsid w:val="005A77E4"/>
    <w:rsid w:val="005A7BFA"/>
    <w:rsid w:val="005A7FD1"/>
    <w:rsid w:val="005B0566"/>
    <w:rsid w:val="005B057D"/>
    <w:rsid w:val="005B09CA"/>
    <w:rsid w:val="005B09DA"/>
    <w:rsid w:val="005B1862"/>
    <w:rsid w:val="005B1978"/>
    <w:rsid w:val="005B1CEE"/>
    <w:rsid w:val="005B1EEB"/>
    <w:rsid w:val="005B2546"/>
    <w:rsid w:val="005B25A9"/>
    <w:rsid w:val="005B26D6"/>
    <w:rsid w:val="005B2DE4"/>
    <w:rsid w:val="005B311B"/>
    <w:rsid w:val="005B3189"/>
    <w:rsid w:val="005B31E3"/>
    <w:rsid w:val="005B3D92"/>
    <w:rsid w:val="005B4515"/>
    <w:rsid w:val="005B4972"/>
    <w:rsid w:val="005B4B35"/>
    <w:rsid w:val="005B4EE2"/>
    <w:rsid w:val="005B5222"/>
    <w:rsid w:val="005B548A"/>
    <w:rsid w:val="005B5731"/>
    <w:rsid w:val="005B58D2"/>
    <w:rsid w:val="005B59EE"/>
    <w:rsid w:val="005B5A68"/>
    <w:rsid w:val="005B5E13"/>
    <w:rsid w:val="005B62D5"/>
    <w:rsid w:val="005B67A9"/>
    <w:rsid w:val="005B6887"/>
    <w:rsid w:val="005B7489"/>
    <w:rsid w:val="005B7588"/>
    <w:rsid w:val="005B7645"/>
    <w:rsid w:val="005B79E3"/>
    <w:rsid w:val="005B7BD6"/>
    <w:rsid w:val="005B7C26"/>
    <w:rsid w:val="005B7DBB"/>
    <w:rsid w:val="005C0587"/>
    <w:rsid w:val="005C07A8"/>
    <w:rsid w:val="005C148B"/>
    <w:rsid w:val="005C14CF"/>
    <w:rsid w:val="005C193F"/>
    <w:rsid w:val="005C1C27"/>
    <w:rsid w:val="005C1FB8"/>
    <w:rsid w:val="005C2014"/>
    <w:rsid w:val="005C214B"/>
    <w:rsid w:val="005C2955"/>
    <w:rsid w:val="005C2A35"/>
    <w:rsid w:val="005C2CC3"/>
    <w:rsid w:val="005C345A"/>
    <w:rsid w:val="005C37C2"/>
    <w:rsid w:val="005C3863"/>
    <w:rsid w:val="005C396B"/>
    <w:rsid w:val="005C3FDB"/>
    <w:rsid w:val="005C4361"/>
    <w:rsid w:val="005C4483"/>
    <w:rsid w:val="005C46FB"/>
    <w:rsid w:val="005C506B"/>
    <w:rsid w:val="005C53BC"/>
    <w:rsid w:val="005C54E7"/>
    <w:rsid w:val="005C55C4"/>
    <w:rsid w:val="005C5751"/>
    <w:rsid w:val="005C5C12"/>
    <w:rsid w:val="005C60B1"/>
    <w:rsid w:val="005C656B"/>
    <w:rsid w:val="005C68D8"/>
    <w:rsid w:val="005C6DAD"/>
    <w:rsid w:val="005C71BC"/>
    <w:rsid w:val="005C72B4"/>
    <w:rsid w:val="005C75E1"/>
    <w:rsid w:val="005C7771"/>
    <w:rsid w:val="005C7C1A"/>
    <w:rsid w:val="005D065E"/>
    <w:rsid w:val="005D06C7"/>
    <w:rsid w:val="005D073F"/>
    <w:rsid w:val="005D0926"/>
    <w:rsid w:val="005D0970"/>
    <w:rsid w:val="005D1014"/>
    <w:rsid w:val="005D1077"/>
    <w:rsid w:val="005D1145"/>
    <w:rsid w:val="005D1252"/>
    <w:rsid w:val="005D132E"/>
    <w:rsid w:val="005D16BA"/>
    <w:rsid w:val="005D1A79"/>
    <w:rsid w:val="005D1A98"/>
    <w:rsid w:val="005D1B28"/>
    <w:rsid w:val="005D1B7A"/>
    <w:rsid w:val="005D2232"/>
    <w:rsid w:val="005D2496"/>
    <w:rsid w:val="005D24FB"/>
    <w:rsid w:val="005D2525"/>
    <w:rsid w:val="005D26B6"/>
    <w:rsid w:val="005D2A4D"/>
    <w:rsid w:val="005D2A67"/>
    <w:rsid w:val="005D2D0F"/>
    <w:rsid w:val="005D30AD"/>
    <w:rsid w:val="005D3301"/>
    <w:rsid w:val="005D3CE2"/>
    <w:rsid w:val="005D3DA7"/>
    <w:rsid w:val="005D3FD1"/>
    <w:rsid w:val="005D4478"/>
    <w:rsid w:val="005D4811"/>
    <w:rsid w:val="005D4893"/>
    <w:rsid w:val="005D48D7"/>
    <w:rsid w:val="005D4DDA"/>
    <w:rsid w:val="005D4F94"/>
    <w:rsid w:val="005D542A"/>
    <w:rsid w:val="005D57C0"/>
    <w:rsid w:val="005D5828"/>
    <w:rsid w:val="005D5957"/>
    <w:rsid w:val="005D5B3C"/>
    <w:rsid w:val="005D5BCF"/>
    <w:rsid w:val="005D624A"/>
    <w:rsid w:val="005D64E1"/>
    <w:rsid w:val="005D64F4"/>
    <w:rsid w:val="005D6600"/>
    <w:rsid w:val="005D6BBA"/>
    <w:rsid w:val="005D6E52"/>
    <w:rsid w:val="005D712C"/>
    <w:rsid w:val="005D73B5"/>
    <w:rsid w:val="005D7644"/>
    <w:rsid w:val="005D7699"/>
    <w:rsid w:val="005D7BC9"/>
    <w:rsid w:val="005D7C11"/>
    <w:rsid w:val="005D7DB8"/>
    <w:rsid w:val="005E0350"/>
    <w:rsid w:val="005E05F7"/>
    <w:rsid w:val="005E06D1"/>
    <w:rsid w:val="005E11F9"/>
    <w:rsid w:val="005E15F6"/>
    <w:rsid w:val="005E165E"/>
    <w:rsid w:val="005E16DE"/>
    <w:rsid w:val="005E19AF"/>
    <w:rsid w:val="005E19B2"/>
    <w:rsid w:val="005E1C03"/>
    <w:rsid w:val="005E1D39"/>
    <w:rsid w:val="005E1F66"/>
    <w:rsid w:val="005E2751"/>
    <w:rsid w:val="005E2863"/>
    <w:rsid w:val="005E2D34"/>
    <w:rsid w:val="005E2DD5"/>
    <w:rsid w:val="005E30AB"/>
    <w:rsid w:val="005E336E"/>
    <w:rsid w:val="005E34B4"/>
    <w:rsid w:val="005E3537"/>
    <w:rsid w:val="005E36E1"/>
    <w:rsid w:val="005E3787"/>
    <w:rsid w:val="005E3947"/>
    <w:rsid w:val="005E45FC"/>
    <w:rsid w:val="005E46BE"/>
    <w:rsid w:val="005E493E"/>
    <w:rsid w:val="005E4A8B"/>
    <w:rsid w:val="005E5093"/>
    <w:rsid w:val="005E51E7"/>
    <w:rsid w:val="005E554C"/>
    <w:rsid w:val="005E5BC9"/>
    <w:rsid w:val="005E601A"/>
    <w:rsid w:val="005E630D"/>
    <w:rsid w:val="005E675A"/>
    <w:rsid w:val="005E6D16"/>
    <w:rsid w:val="005E795F"/>
    <w:rsid w:val="005E7A42"/>
    <w:rsid w:val="005E7DD7"/>
    <w:rsid w:val="005E7E8E"/>
    <w:rsid w:val="005E7F3E"/>
    <w:rsid w:val="005F095B"/>
    <w:rsid w:val="005F0A50"/>
    <w:rsid w:val="005F106A"/>
    <w:rsid w:val="005F1683"/>
    <w:rsid w:val="005F1784"/>
    <w:rsid w:val="005F1862"/>
    <w:rsid w:val="005F191C"/>
    <w:rsid w:val="005F1A18"/>
    <w:rsid w:val="005F1D37"/>
    <w:rsid w:val="005F2322"/>
    <w:rsid w:val="005F24DF"/>
    <w:rsid w:val="005F29EE"/>
    <w:rsid w:val="005F35D0"/>
    <w:rsid w:val="005F35DA"/>
    <w:rsid w:val="005F39E0"/>
    <w:rsid w:val="005F3BAB"/>
    <w:rsid w:val="005F3EAE"/>
    <w:rsid w:val="005F4065"/>
    <w:rsid w:val="005F40B5"/>
    <w:rsid w:val="005F427E"/>
    <w:rsid w:val="005F4825"/>
    <w:rsid w:val="005F4C1D"/>
    <w:rsid w:val="005F4CB1"/>
    <w:rsid w:val="005F4E3A"/>
    <w:rsid w:val="005F50EA"/>
    <w:rsid w:val="005F51CE"/>
    <w:rsid w:val="005F5450"/>
    <w:rsid w:val="005F5915"/>
    <w:rsid w:val="005F59C3"/>
    <w:rsid w:val="005F5D0B"/>
    <w:rsid w:val="005F5E88"/>
    <w:rsid w:val="005F5EA8"/>
    <w:rsid w:val="005F6217"/>
    <w:rsid w:val="005F62C8"/>
    <w:rsid w:val="005F6703"/>
    <w:rsid w:val="005F67C0"/>
    <w:rsid w:val="005F690F"/>
    <w:rsid w:val="005F6AFE"/>
    <w:rsid w:val="005F6B06"/>
    <w:rsid w:val="005F6DC4"/>
    <w:rsid w:val="005F7279"/>
    <w:rsid w:val="005F7519"/>
    <w:rsid w:val="005F7A00"/>
    <w:rsid w:val="005F7C4B"/>
    <w:rsid w:val="005F7CCD"/>
    <w:rsid w:val="00600120"/>
    <w:rsid w:val="0060014F"/>
    <w:rsid w:val="00600636"/>
    <w:rsid w:val="00600895"/>
    <w:rsid w:val="00600913"/>
    <w:rsid w:val="00600C21"/>
    <w:rsid w:val="00600CDA"/>
    <w:rsid w:val="00600D05"/>
    <w:rsid w:val="00601018"/>
    <w:rsid w:val="006014B9"/>
    <w:rsid w:val="00601C56"/>
    <w:rsid w:val="00601E0F"/>
    <w:rsid w:val="0060260E"/>
    <w:rsid w:val="0060265A"/>
    <w:rsid w:val="006028FB"/>
    <w:rsid w:val="00602A02"/>
    <w:rsid w:val="00602A4D"/>
    <w:rsid w:val="00602BAC"/>
    <w:rsid w:val="0060323E"/>
    <w:rsid w:val="006032E7"/>
    <w:rsid w:val="006033D1"/>
    <w:rsid w:val="0060350B"/>
    <w:rsid w:val="0060362C"/>
    <w:rsid w:val="00603728"/>
    <w:rsid w:val="00603C58"/>
    <w:rsid w:val="00603CEC"/>
    <w:rsid w:val="00603EA9"/>
    <w:rsid w:val="00604118"/>
    <w:rsid w:val="00604385"/>
    <w:rsid w:val="0060458B"/>
    <w:rsid w:val="0060485B"/>
    <w:rsid w:val="0060490E"/>
    <w:rsid w:val="00604A07"/>
    <w:rsid w:val="00604AE2"/>
    <w:rsid w:val="00604B99"/>
    <w:rsid w:val="00604C2B"/>
    <w:rsid w:val="006060DB"/>
    <w:rsid w:val="00606892"/>
    <w:rsid w:val="00606B17"/>
    <w:rsid w:val="00606CAD"/>
    <w:rsid w:val="00607564"/>
    <w:rsid w:val="0060788F"/>
    <w:rsid w:val="00607A72"/>
    <w:rsid w:val="00607B4B"/>
    <w:rsid w:val="00607B86"/>
    <w:rsid w:val="00607BDA"/>
    <w:rsid w:val="00607D5A"/>
    <w:rsid w:val="00607EDA"/>
    <w:rsid w:val="00607EFD"/>
    <w:rsid w:val="0061036C"/>
    <w:rsid w:val="0061043C"/>
    <w:rsid w:val="00610C0E"/>
    <w:rsid w:val="00610D3C"/>
    <w:rsid w:val="006113BD"/>
    <w:rsid w:val="006115F6"/>
    <w:rsid w:val="00611920"/>
    <w:rsid w:val="00611BB3"/>
    <w:rsid w:val="00611D70"/>
    <w:rsid w:val="00611FCD"/>
    <w:rsid w:val="006127E8"/>
    <w:rsid w:val="00612835"/>
    <w:rsid w:val="00612BC0"/>
    <w:rsid w:val="00612BD3"/>
    <w:rsid w:val="00612C6B"/>
    <w:rsid w:val="0061309D"/>
    <w:rsid w:val="006137C7"/>
    <w:rsid w:val="00613926"/>
    <w:rsid w:val="00613DB9"/>
    <w:rsid w:val="00613E8C"/>
    <w:rsid w:val="00613F50"/>
    <w:rsid w:val="00614750"/>
    <w:rsid w:val="00614B97"/>
    <w:rsid w:val="00614BDC"/>
    <w:rsid w:val="00614E13"/>
    <w:rsid w:val="00615016"/>
    <w:rsid w:val="0061551E"/>
    <w:rsid w:val="0061640F"/>
    <w:rsid w:val="006166D3"/>
    <w:rsid w:val="006169B4"/>
    <w:rsid w:val="00616B5C"/>
    <w:rsid w:val="00616CA3"/>
    <w:rsid w:val="00617183"/>
    <w:rsid w:val="006174DB"/>
    <w:rsid w:val="00617671"/>
    <w:rsid w:val="00617726"/>
    <w:rsid w:val="00617CE5"/>
    <w:rsid w:val="00617E92"/>
    <w:rsid w:val="00617EFF"/>
    <w:rsid w:val="00620233"/>
    <w:rsid w:val="006202FD"/>
    <w:rsid w:val="006203BA"/>
    <w:rsid w:val="00620BE8"/>
    <w:rsid w:val="00620C21"/>
    <w:rsid w:val="00620E26"/>
    <w:rsid w:val="00620E54"/>
    <w:rsid w:val="00620EE5"/>
    <w:rsid w:val="0062108B"/>
    <w:rsid w:val="00621257"/>
    <w:rsid w:val="0062130B"/>
    <w:rsid w:val="006217A7"/>
    <w:rsid w:val="00621A48"/>
    <w:rsid w:val="00621C3A"/>
    <w:rsid w:val="00622700"/>
    <w:rsid w:val="00622A93"/>
    <w:rsid w:val="00622D1B"/>
    <w:rsid w:val="0062326C"/>
    <w:rsid w:val="00623676"/>
    <w:rsid w:val="00623679"/>
    <w:rsid w:val="00623B19"/>
    <w:rsid w:val="00623C79"/>
    <w:rsid w:val="00623E20"/>
    <w:rsid w:val="00624425"/>
    <w:rsid w:val="00624B0B"/>
    <w:rsid w:val="00625608"/>
    <w:rsid w:val="00625693"/>
    <w:rsid w:val="0062588E"/>
    <w:rsid w:val="00625F9C"/>
    <w:rsid w:val="00626B95"/>
    <w:rsid w:val="00626C4E"/>
    <w:rsid w:val="006272BF"/>
    <w:rsid w:val="00627403"/>
    <w:rsid w:val="00627936"/>
    <w:rsid w:val="00627DCC"/>
    <w:rsid w:val="00630122"/>
    <w:rsid w:val="00630242"/>
    <w:rsid w:val="00630ABA"/>
    <w:rsid w:val="00630D26"/>
    <w:rsid w:val="00630FAC"/>
    <w:rsid w:val="006312AC"/>
    <w:rsid w:val="00631826"/>
    <w:rsid w:val="006318DC"/>
    <w:rsid w:val="00632120"/>
    <w:rsid w:val="006321A3"/>
    <w:rsid w:val="00632261"/>
    <w:rsid w:val="006325F8"/>
    <w:rsid w:val="00632785"/>
    <w:rsid w:val="0063331B"/>
    <w:rsid w:val="00633463"/>
    <w:rsid w:val="00633C81"/>
    <w:rsid w:val="006344FA"/>
    <w:rsid w:val="00634D42"/>
    <w:rsid w:val="00634DDA"/>
    <w:rsid w:val="00635144"/>
    <w:rsid w:val="006353CE"/>
    <w:rsid w:val="00635ACA"/>
    <w:rsid w:val="00635B21"/>
    <w:rsid w:val="00635BB8"/>
    <w:rsid w:val="00635C6A"/>
    <w:rsid w:val="0063691E"/>
    <w:rsid w:val="00636B0C"/>
    <w:rsid w:val="00636B8B"/>
    <w:rsid w:val="00636D3E"/>
    <w:rsid w:val="006377B6"/>
    <w:rsid w:val="006379AD"/>
    <w:rsid w:val="00637D45"/>
    <w:rsid w:val="00637FAC"/>
    <w:rsid w:val="00640DAB"/>
    <w:rsid w:val="006411F4"/>
    <w:rsid w:val="006417B1"/>
    <w:rsid w:val="00641FBB"/>
    <w:rsid w:val="00642219"/>
    <w:rsid w:val="00642256"/>
    <w:rsid w:val="006423FD"/>
    <w:rsid w:val="00642D0C"/>
    <w:rsid w:val="00642DBC"/>
    <w:rsid w:val="006430A2"/>
    <w:rsid w:val="00643520"/>
    <w:rsid w:val="006446F6"/>
    <w:rsid w:val="006448B6"/>
    <w:rsid w:val="00644CE0"/>
    <w:rsid w:val="00644E81"/>
    <w:rsid w:val="00645811"/>
    <w:rsid w:val="00645CC3"/>
    <w:rsid w:val="006464B5"/>
    <w:rsid w:val="00646810"/>
    <w:rsid w:val="00646836"/>
    <w:rsid w:val="00646D2A"/>
    <w:rsid w:val="00646FBB"/>
    <w:rsid w:val="0064729B"/>
    <w:rsid w:val="00647448"/>
    <w:rsid w:val="00647558"/>
    <w:rsid w:val="0064782C"/>
    <w:rsid w:val="00647B83"/>
    <w:rsid w:val="00647ED2"/>
    <w:rsid w:val="0065006D"/>
    <w:rsid w:val="006500D7"/>
    <w:rsid w:val="00650140"/>
    <w:rsid w:val="00650A10"/>
    <w:rsid w:val="00650AE3"/>
    <w:rsid w:val="00650CB5"/>
    <w:rsid w:val="00651564"/>
    <w:rsid w:val="0065175B"/>
    <w:rsid w:val="00651773"/>
    <w:rsid w:val="00651D79"/>
    <w:rsid w:val="00652056"/>
    <w:rsid w:val="00652520"/>
    <w:rsid w:val="00652C6C"/>
    <w:rsid w:val="00653BA1"/>
    <w:rsid w:val="00653F80"/>
    <w:rsid w:val="00653FA3"/>
    <w:rsid w:val="00654083"/>
    <w:rsid w:val="00654534"/>
    <w:rsid w:val="00654AA3"/>
    <w:rsid w:val="00654B25"/>
    <w:rsid w:val="00654BC4"/>
    <w:rsid w:val="00654E13"/>
    <w:rsid w:val="00654EE1"/>
    <w:rsid w:val="006556B5"/>
    <w:rsid w:val="0065571D"/>
    <w:rsid w:val="00655C54"/>
    <w:rsid w:val="00655CE8"/>
    <w:rsid w:val="00655E22"/>
    <w:rsid w:val="00655F70"/>
    <w:rsid w:val="006563EC"/>
    <w:rsid w:val="006565B0"/>
    <w:rsid w:val="00656714"/>
    <w:rsid w:val="006569B7"/>
    <w:rsid w:val="00656BA7"/>
    <w:rsid w:val="0065794F"/>
    <w:rsid w:val="00657C87"/>
    <w:rsid w:val="00660477"/>
    <w:rsid w:val="006604BA"/>
    <w:rsid w:val="0066087F"/>
    <w:rsid w:val="00660E58"/>
    <w:rsid w:val="00661005"/>
    <w:rsid w:val="006612EB"/>
    <w:rsid w:val="0066164E"/>
    <w:rsid w:val="0066198F"/>
    <w:rsid w:val="006619D1"/>
    <w:rsid w:val="00661FBD"/>
    <w:rsid w:val="00662B94"/>
    <w:rsid w:val="006630CF"/>
    <w:rsid w:val="006634A5"/>
    <w:rsid w:val="00663612"/>
    <w:rsid w:val="00663725"/>
    <w:rsid w:val="00663C65"/>
    <w:rsid w:val="00663FB4"/>
    <w:rsid w:val="00664035"/>
    <w:rsid w:val="00664229"/>
    <w:rsid w:val="00664555"/>
    <w:rsid w:val="00664A6E"/>
    <w:rsid w:val="00664CF1"/>
    <w:rsid w:val="00664D05"/>
    <w:rsid w:val="00664F1A"/>
    <w:rsid w:val="0066519C"/>
    <w:rsid w:val="00665413"/>
    <w:rsid w:val="006655F5"/>
    <w:rsid w:val="00665662"/>
    <w:rsid w:val="00665995"/>
    <w:rsid w:val="00665A05"/>
    <w:rsid w:val="00665C10"/>
    <w:rsid w:val="00666309"/>
    <w:rsid w:val="00666490"/>
    <w:rsid w:val="006665DC"/>
    <w:rsid w:val="0066677D"/>
    <w:rsid w:val="00666D8F"/>
    <w:rsid w:val="00666DAA"/>
    <w:rsid w:val="006670F1"/>
    <w:rsid w:val="006673E6"/>
    <w:rsid w:val="006675E5"/>
    <w:rsid w:val="00667805"/>
    <w:rsid w:val="00667837"/>
    <w:rsid w:val="00667863"/>
    <w:rsid w:val="00667B96"/>
    <w:rsid w:val="00667BA2"/>
    <w:rsid w:val="00667CC3"/>
    <w:rsid w:val="00667ED9"/>
    <w:rsid w:val="00670787"/>
    <w:rsid w:val="00670B97"/>
    <w:rsid w:val="00670CFF"/>
    <w:rsid w:val="006710B7"/>
    <w:rsid w:val="00671281"/>
    <w:rsid w:val="0067160F"/>
    <w:rsid w:val="00671A8E"/>
    <w:rsid w:val="0067224B"/>
    <w:rsid w:val="00672B02"/>
    <w:rsid w:val="00672F08"/>
    <w:rsid w:val="006731A5"/>
    <w:rsid w:val="00673203"/>
    <w:rsid w:val="0067339F"/>
    <w:rsid w:val="0067364D"/>
    <w:rsid w:val="0067380A"/>
    <w:rsid w:val="00673AA4"/>
    <w:rsid w:val="00673C33"/>
    <w:rsid w:val="00673CB8"/>
    <w:rsid w:val="00673E27"/>
    <w:rsid w:val="00674272"/>
    <w:rsid w:val="006744F2"/>
    <w:rsid w:val="006748BB"/>
    <w:rsid w:val="00674E3E"/>
    <w:rsid w:val="006756C6"/>
    <w:rsid w:val="00675739"/>
    <w:rsid w:val="00675786"/>
    <w:rsid w:val="00676730"/>
    <w:rsid w:val="00676743"/>
    <w:rsid w:val="00676A30"/>
    <w:rsid w:val="00676ACF"/>
    <w:rsid w:val="00676B77"/>
    <w:rsid w:val="00676E00"/>
    <w:rsid w:val="00676F19"/>
    <w:rsid w:val="006770AC"/>
    <w:rsid w:val="00677365"/>
    <w:rsid w:val="00677689"/>
    <w:rsid w:val="00677862"/>
    <w:rsid w:val="00680393"/>
    <w:rsid w:val="006805CC"/>
    <w:rsid w:val="00680636"/>
    <w:rsid w:val="00680708"/>
    <w:rsid w:val="00680A5D"/>
    <w:rsid w:val="00680F82"/>
    <w:rsid w:val="006817BA"/>
    <w:rsid w:val="00681895"/>
    <w:rsid w:val="00681971"/>
    <w:rsid w:val="00681CCC"/>
    <w:rsid w:val="00681CD5"/>
    <w:rsid w:val="00681EF8"/>
    <w:rsid w:val="00681F07"/>
    <w:rsid w:val="00681F10"/>
    <w:rsid w:val="00682035"/>
    <w:rsid w:val="0068209B"/>
    <w:rsid w:val="0068219F"/>
    <w:rsid w:val="00682349"/>
    <w:rsid w:val="00682897"/>
    <w:rsid w:val="00682B3E"/>
    <w:rsid w:val="00683452"/>
    <w:rsid w:val="00683482"/>
    <w:rsid w:val="00683604"/>
    <w:rsid w:val="0068400B"/>
    <w:rsid w:val="006840E6"/>
    <w:rsid w:val="0068411F"/>
    <w:rsid w:val="006842A8"/>
    <w:rsid w:val="006849BB"/>
    <w:rsid w:val="00684C5A"/>
    <w:rsid w:val="006851DD"/>
    <w:rsid w:val="0068525D"/>
    <w:rsid w:val="00685288"/>
    <w:rsid w:val="00685950"/>
    <w:rsid w:val="00685BF8"/>
    <w:rsid w:val="00685CC7"/>
    <w:rsid w:val="00686135"/>
    <w:rsid w:val="0068616E"/>
    <w:rsid w:val="006862A6"/>
    <w:rsid w:val="00686307"/>
    <w:rsid w:val="00686323"/>
    <w:rsid w:val="00686A19"/>
    <w:rsid w:val="00687192"/>
    <w:rsid w:val="006871B1"/>
    <w:rsid w:val="00687811"/>
    <w:rsid w:val="00687B7B"/>
    <w:rsid w:val="00690201"/>
    <w:rsid w:val="00690365"/>
    <w:rsid w:val="00690755"/>
    <w:rsid w:val="00690829"/>
    <w:rsid w:val="00690DF3"/>
    <w:rsid w:val="006914D2"/>
    <w:rsid w:val="00691502"/>
    <w:rsid w:val="00691523"/>
    <w:rsid w:val="00691A16"/>
    <w:rsid w:val="00691B02"/>
    <w:rsid w:val="00691CB9"/>
    <w:rsid w:val="00691D58"/>
    <w:rsid w:val="00691D7A"/>
    <w:rsid w:val="00692183"/>
    <w:rsid w:val="00692FC4"/>
    <w:rsid w:val="0069370C"/>
    <w:rsid w:val="006939EC"/>
    <w:rsid w:val="0069454A"/>
    <w:rsid w:val="006946F8"/>
    <w:rsid w:val="00694EC6"/>
    <w:rsid w:val="00694F8F"/>
    <w:rsid w:val="00695937"/>
    <w:rsid w:val="0069597C"/>
    <w:rsid w:val="00695D95"/>
    <w:rsid w:val="00696054"/>
    <w:rsid w:val="006960B9"/>
    <w:rsid w:val="00696258"/>
    <w:rsid w:val="00696326"/>
    <w:rsid w:val="00696406"/>
    <w:rsid w:val="00696736"/>
    <w:rsid w:val="006968ED"/>
    <w:rsid w:val="006970D5"/>
    <w:rsid w:val="00697118"/>
    <w:rsid w:val="006972F7"/>
    <w:rsid w:val="0069739D"/>
    <w:rsid w:val="0069787B"/>
    <w:rsid w:val="00697CDE"/>
    <w:rsid w:val="00697D2B"/>
    <w:rsid w:val="00697D2F"/>
    <w:rsid w:val="006A01BF"/>
    <w:rsid w:val="006A0293"/>
    <w:rsid w:val="006A06EB"/>
    <w:rsid w:val="006A08C1"/>
    <w:rsid w:val="006A09C3"/>
    <w:rsid w:val="006A0BE2"/>
    <w:rsid w:val="006A0D51"/>
    <w:rsid w:val="006A0DCB"/>
    <w:rsid w:val="006A1186"/>
    <w:rsid w:val="006A1E83"/>
    <w:rsid w:val="006A1EE1"/>
    <w:rsid w:val="006A1F2C"/>
    <w:rsid w:val="006A2159"/>
    <w:rsid w:val="006A249B"/>
    <w:rsid w:val="006A24E1"/>
    <w:rsid w:val="006A256F"/>
    <w:rsid w:val="006A27DD"/>
    <w:rsid w:val="006A3897"/>
    <w:rsid w:val="006A38F6"/>
    <w:rsid w:val="006A3F17"/>
    <w:rsid w:val="006A4211"/>
    <w:rsid w:val="006A4AE2"/>
    <w:rsid w:val="006A4B09"/>
    <w:rsid w:val="006A4D54"/>
    <w:rsid w:val="006A4D8A"/>
    <w:rsid w:val="006A4F99"/>
    <w:rsid w:val="006A50C8"/>
    <w:rsid w:val="006A520E"/>
    <w:rsid w:val="006A57B9"/>
    <w:rsid w:val="006A5AAE"/>
    <w:rsid w:val="006A5EE5"/>
    <w:rsid w:val="006A5F9D"/>
    <w:rsid w:val="006A625E"/>
    <w:rsid w:val="006A64A9"/>
    <w:rsid w:val="006A661F"/>
    <w:rsid w:val="006A6AF9"/>
    <w:rsid w:val="006A6B52"/>
    <w:rsid w:val="006A743B"/>
    <w:rsid w:val="006A796D"/>
    <w:rsid w:val="006A7AD0"/>
    <w:rsid w:val="006A7CBB"/>
    <w:rsid w:val="006A7D66"/>
    <w:rsid w:val="006A7DE9"/>
    <w:rsid w:val="006A7DFF"/>
    <w:rsid w:val="006B011B"/>
    <w:rsid w:val="006B0469"/>
    <w:rsid w:val="006B0925"/>
    <w:rsid w:val="006B099B"/>
    <w:rsid w:val="006B0DA8"/>
    <w:rsid w:val="006B1C87"/>
    <w:rsid w:val="006B24E1"/>
    <w:rsid w:val="006B277A"/>
    <w:rsid w:val="006B27ED"/>
    <w:rsid w:val="006B2C28"/>
    <w:rsid w:val="006B311C"/>
    <w:rsid w:val="006B385A"/>
    <w:rsid w:val="006B387F"/>
    <w:rsid w:val="006B38A8"/>
    <w:rsid w:val="006B3B09"/>
    <w:rsid w:val="006B3F25"/>
    <w:rsid w:val="006B4785"/>
    <w:rsid w:val="006B4949"/>
    <w:rsid w:val="006B4C57"/>
    <w:rsid w:val="006B52D9"/>
    <w:rsid w:val="006B556C"/>
    <w:rsid w:val="006B56EC"/>
    <w:rsid w:val="006B5A06"/>
    <w:rsid w:val="006B5ADB"/>
    <w:rsid w:val="006B69D2"/>
    <w:rsid w:val="006B6B5B"/>
    <w:rsid w:val="006B6BAF"/>
    <w:rsid w:val="006B6CB4"/>
    <w:rsid w:val="006B73B9"/>
    <w:rsid w:val="006B741B"/>
    <w:rsid w:val="006B7642"/>
    <w:rsid w:val="006B7EFE"/>
    <w:rsid w:val="006C03DC"/>
    <w:rsid w:val="006C0522"/>
    <w:rsid w:val="006C06D7"/>
    <w:rsid w:val="006C0CF3"/>
    <w:rsid w:val="006C0DBD"/>
    <w:rsid w:val="006C1021"/>
    <w:rsid w:val="006C13CB"/>
    <w:rsid w:val="006C145B"/>
    <w:rsid w:val="006C1A1F"/>
    <w:rsid w:val="006C2060"/>
    <w:rsid w:val="006C2203"/>
    <w:rsid w:val="006C241E"/>
    <w:rsid w:val="006C25F1"/>
    <w:rsid w:val="006C2626"/>
    <w:rsid w:val="006C2966"/>
    <w:rsid w:val="006C2C29"/>
    <w:rsid w:val="006C2EF3"/>
    <w:rsid w:val="006C355C"/>
    <w:rsid w:val="006C3E91"/>
    <w:rsid w:val="006C43B4"/>
    <w:rsid w:val="006C44CD"/>
    <w:rsid w:val="006C4AFE"/>
    <w:rsid w:val="006C4FD2"/>
    <w:rsid w:val="006C5048"/>
    <w:rsid w:val="006C5448"/>
    <w:rsid w:val="006C567D"/>
    <w:rsid w:val="006C56B8"/>
    <w:rsid w:val="006C5A3B"/>
    <w:rsid w:val="006C5F1A"/>
    <w:rsid w:val="006C625C"/>
    <w:rsid w:val="006C6FE4"/>
    <w:rsid w:val="006C746C"/>
    <w:rsid w:val="006C758D"/>
    <w:rsid w:val="006C7693"/>
    <w:rsid w:val="006D018F"/>
    <w:rsid w:val="006D04C5"/>
    <w:rsid w:val="006D0588"/>
    <w:rsid w:val="006D0DC3"/>
    <w:rsid w:val="006D103A"/>
    <w:rsid w:val="006D1DE1"/>
    <w:rsid w:val="006D20F4"/>
    <w:rsid w:val="006D2317"/>
    <w:rsid w:val="006D266D"/>
    <w:rsid w:val="006D2C7E"/>
    <w:rsid w:val="006D2F68"/>
    <w:rsid w:val="006D31EC"/>
    <w:rsid w:val="006D32CD"/>
    <w:rsid w:val="006D3749"/>
    <w:rsid w:val="006D37B0"/>
    <w:rsid w:val="006D37E6"/>
    <w:rsid w:val="006D3A92"/>
    <w:rsid w:val="006D42BB"/>
    <w:rsid w:val="006D489D"/>
    <w:rsid w:val="006D4D7F"/>
    <w:rsid w:val="006D4FD3"/>
    <w:rsid w:val="006D51B1"/>
    <w:rsid w:val="006D5A15"/>
    <w:rsid w:val="006D5D7E"/>
    <w:rsid w:val="006D5FF2"/>
    <w:rsid w:val="006D6048"/>
    <w:rsid w:val="006D625A"/>
    <w:rsid w:val="006D65CA"/>
    <w:rsid w:val="006D6748"/>
    <w:rsid w:val="006D6A10"/>
    <w:rsid w:val="006D6C3A"/>
    <w:rsid w:val="006D6F55"/>
    <w:rsid w:val="006D6F58"/>
    <w:rsid w:val="006D73BB"/>
    <w:rsid w:val="006D76B9"/>
    <w:rsid w:val="006D7FD1"/>
    <w:rsid w:val="006E0285"/>
    <w:rsid w:val="006E0448"/>
    <w:rsid w:val="006E090A"/>
    <w:rsid w:val="006E09DE"/>
    <w:rsid w:val="006E0E9C"/>
    <w:rsid w:val="006E1377"/>
    <w:rsid w:val="006E143C"/>
    <w:rsid w:val="006E1582"/>
    <w:rsid w:val="006E1655"/>
    <w:rsid w:val="006E165D"/>
    <w:rsid w:val="006E1938"/>
    <w:rsid w:val="006E1970"/>
    <w:rsid w:val="006E1DDE"/>
    <w:rsid w:val="006E2136"/>
    <w:rsid w:val="006E2191"/>
    <w:rsid w:val="006E2329"/>
    <w:rsid w:val="006E24B2"/>
    <w:rsid w:val="006E25C3"/>
    <w:rsid w:val="006E2816"/>
    <w:rsid w:val="006E2AF2"/>
    <w:rsid w:val="006E3280"/>
    <w:rsid w:val="006E3C25"/>
    <w:rsid w:val="006E449E"/>
    <w:rsid w:val="006E44D9"/>
    <w:rsid w:val="006E47C7"/>
    <w:rsid w:val="006E4B84"/>
    <w:rsid w:val="006E5032"/>
    <w:rsid w:val="006E50A3"/>
    <w:rsid w:val="006E51C2"/>
    <w:rsid w:val="006E53B4"/>
    <w:rsid w:val="006E5E48"/>
    <w:rsid w:val="006E6220"/>
    <w:rsid w:val="006E62EB"/>
    <w:rsid w:val="006E64C8"/>
    <w:rsid w:val="006E6607"/>
    <w:rsid w:val="006E6664"/>
    <w:rsid w:val="006E6A3A"/>
    <w:rsid w:val="006E6CFE"/>
    <w:rsid w:val="006E6E11"/>
    <w:rsid w:val="006E71C1"/>
    <w:rsid w:val="006E71F3"/>
    <w:rsid w:val="006E7410"/>
    <w:rsid w:val="006E7542"/>
    <w:rsid w:val="006E75EF"/>
    <w:rsid w:val="006E778C"/>
    <w:rsid w:val="006E7A46"/>
    <w:rsid w:val="006E7AC2"/>
    <w:rsid w:val="006E7B62"/>
    <w:rsid w:val="006F00FD"/>
    <w:rsid w:val="006F0772"/>
    <w:rsid w:val="006F0854"/>
    <w:rsid w:val="006F0C20"/>
    <w:rsid w:val="006F13A7"/>
    <w:rsid w:val="006F144F"/>
    <w:rsid w:val="006F155C"/>
    <w:rsid w:val="006F1A01"/>
    <w:rsid w:val="006F1E54"/>
    <w:rsid w:val="006F2800"/>
    <w:rsid w:val="006F28B2"/>
    <w:rsid w:val="006F302E"/>
    <w:rsid w:val="006F3306"/>
    <w:rsid w:val="006F37B8"/>
    <w:rsid w:val="006F3D0C"/>
    <w:rsid w:val="006F3DA0"/>
    <w:rsid w:val="006F432D"/>
    <w:rsid w:val="006F43CD"/>
    <w:rsid w:val="006F46D2"/>
    <w:rsid w:val="006F4737"/>
    <w:rsid w:val="006F50C8"/>
    <w:rsid w:val="006F513C"/>
    <w:rsid w:val="006F5E2D"/>
    <w:rsid w:val="006F5E70"/>
    <w:rsid w:val="006F5E76"/>
    <w:rsid w:val="006F5F39"/>
    <w:rsid w:val="006F61F8"/>
    <w:rsid w:val="006F6789"/>
    <w:rsid w:val="006F68F6"/>
    <w:rsid w:val="006F70DB"/>
    <w:rsid w:val="006F74EA"/>
    <w:rsid w:val="006F77E7"/>
    <w:rsid w:val="006F7D2B"/>
    <w:rsid w:val="00700017"/>
    <w:rsid w:val="0070022B"/>
    <w:rsid w:val="007004C2"/>
    <w:rsid w:val="007007E6"/>
    <w:rsid w:val="00700A01"/>
    <w:rsid w:val="00700B98"/>
    <w:rsid w:val="00700BD4"/>
    <w:rsid w:val="00701027"/>
    <w:rsid w:val="007012C0"/>
    <w:rsid w:val="007012CD"/>
    <w:rsid w:val="007016AF"/>
    <w:rsid w:val="00701A74"/>
    <w:rsid w:val="00701D1F"/>
    <w:rsid w:val="00702372"/>
    <w:rsid w:val="007023B6"/>
    <w:rsid w:val="0070283F"/>
    <w:rsid w:val="00702B49"/>
    <w:rsid w:val="00702E7F"/>
    <w:rsid w:val="00703056"/>
    <w:rsid w:val="00703459"/>
    <w:rsid w:val="00703BB5"/>
    <w:rsid w:val="00703C0D"/>
    <w:rsid w:val="00703E31"/>
    <w:rsid w:val="00704407"/>
    <w:rsid w:val="007045AF"/>
    <w:rsid w:val="00704676"/>
    <w:rsid w:val="007047E3"/>
    <w:rsid w:val="007048DC"/>
    <w:rsid w:val="00704935"/>
    <w:rsid w:val="00704CB9"/>
    <w:rsid w:val="00704CBD"/>
    <w:rsid w:val="00704D3A"/>
    <w:rsid w:val="00705121"/>
    <w:rsid w:val="00705250"/>
    <w:rsid w:val="00705322"/>
    <w:rsid w:val="00705653"/>
    <w:rsid w:val="00705AD5"/>
    <w:rsid w:val="00705B0D"/>
    <w:rsid w:val="00705E62"/>
    <w:rsid w:val="00705EFC"/>
    <w:rsid w:val="00706065"/>
    <w:rsid w:val="0070608B"/>
    <w:rsid w:val="0070635D"/>
    <w:rsid w:val="00706390"/>
    <w:rsid w:val="0070676E"/>
    <w:rsid w:val="007067A8"/>
    <w:rsid w:val="00706A36"/>
    <w:rsid w:val="00706A8D"/>
    <w:rsid w:val="00706E83"/>
    <w:rsid w:val="00707489"/>
    <w:rsid w:val="007075CD"/>
    <w:rsid w:val="00707882"/>
    <w:rsid w:val="007078B4"/>
    <w:rsid w:val="007079E1"/>
    <w:rsid w:val="00707AAA"/>
    <w:rsid w:val="00707B1D"/>
    <w:rsid w:val="00707B2B"/>
    <w:rsid w:val="00707CC9"/>
    <w:rsid w:val="00707FD6"/>
    <w:rsid w:val="007105D2"/>
    <w:rsid w:val="0071073E"/>
    <w:rsid w:val="00710855"/>
    <w:rsid w:val="007112C8"/>
    <w:rsid w:val="007113AF"/>
    <w:rsid w:val="00711462"/>
    <w:rsid w:val="007115BD"/>
    <w:rsid w:val="00711875"/>
    <w:rsid w:val="00711CB6"/>
    <w:rsid w:val="00711EEC"/>
    <w:rsid w:val="00712148"/>
    <w:rsid w:val="00712D58"/>
    <w:rsid w:val="00712FE6"/>
    <w:rsid w:val="00713110"/>
    <w:rsid w:val="0071340D"/>
    <w:rsid w:val="007134AA"/>
    <w:rsid w:val="00713938"/>
    <w:rsid w:val="00713D54"/>
    <w:rsid w:val="00713EEF"/>
    <w:rsid w:val="007143E5"/>
    <w:rsid w:val="00714433"/>
    <w:rsid w:val="00714D5B"/>
    <w:rsid w:val="00714FEA"/>
    <w:rsid w:val="0071519F"/>
    <w:rsid w:val="00715977"/>
    <w:rsid w:val="00715B06"/>
    <w:rsid w:val="00715CED"/>
    <w:rsid w:val="00715DED"/>
    <w:rsid w:val="0071637B"/>
    <w:rsid w:val="0071687A"/>
    <w:rsid w:val="007169E8"/>
    <w:rsid w:val="00716ADF"/>
    <w:rsid w:val="00716BB5"/>
    <w:rsid w:val="00716D12"/>
    <w:rsid w:val="00716E53"/>
    <w:rsid w:val="00717522"/>
    <w:rsid w:val="00720335"/>
    <w:rsid w:val="00720DE0"/>
    <w:rsid w:val="00720F78"/>
    <w:rsid w:val="00721178"/>
    <w:rsid w:val="00721194"/>
    <w:rsid w:val="00721627"/>
    <w:rsid w:val="0072176F"/>
    <w:rsid w:val="00721B54"/>
    <w:rsid w:val="00722509"/>
    <w:rsid w:val="00722834"/>
    <w:rsid w:val="00722986"/>
    <w:rsid w:val="00722A78"/>
    <w:rsid w:val="00722E20"/>
    <w:rsid w:val="00722F2E"/>
    <w:rsid w:val="007232BF"/>
    <w:rsid w:val="007236C8"/>
    <w:rsid w:val="00723718"/>
    <w:rsid w:val="00723918"/>
    <w:rsid w:val="00723961"/>
    <w:rsid w:val="00723E17"/>
    <w:rsid w:val="00723E8E"/>
    <w:rsid w:val="0072437F"/>
    <w:rsid w:val="00724530"/>
    <w:rsid w:val="007245EF"/>
    <w:rsid w:val="007247D2"/>
    <w:rsid w:val="00724E45"/>
    <w:rsid w:val="00724F70"/>
    <w:rsid w:val="007251C7"/>
    <w:rsid w:val="007258F9"/>
    <w:rsid w:val="00725E74"/>
    <w:rsid w:val="00725F82"/>
    <w:rsid w:val="00726714"/>
    <w:rsid w:val="007276AC"/>
    <w:rsid w:val="00727961"/>
    <w:rsid w:val="00727F13"/>
    <w:rsid w:val="00727FE6"/>
    <w:rsid w:val="00730257"/>
    <w:rsid w:val="0073050E"/>
    <w:rsid w:val="00730824"/>
    <w:rsid w:val="007309FE"/>
    <w:rsid w:val="00730BC5"/>
    <w:rsid w:val="00731069"/>
    <w:rsid w:val="00731273"/>
    <w:rsid w:val="0073150E"/>
    <w:rsid w:val="007315C2"/>
    <w:rsid w:val="007315FD"/>
    <w:rsid w:val="007316EF"/>
    <w:rsid w:val="007318E9"/>
    <w:rsid w:val="00731A34"/>
    <w:rsid w:val="00731CFE"/>
    <w:rsid w:val="00731DBC"/>
    <w:rsid w:val="00731E1E"/>
    <w:rsid w:val="00731E22"/>
    <w:rsid w:val="00731EE5"/>
    <w:rsid w:val="00732307"/>
    <w:rsid w:val="00732999"/>
    <w:rsid w:val="00732E97"/>
    <w:rsid w:val="007333FC"/>
    <w:rsid w:val="0073358D"/>
    <w:rsid w:val="0073369D"/>
    <w:rsid w:val="00733B61"/>
    <w:rsid w:val="00733F32"/>
    <w:rsid w:val="007343B2"/>
    <w:rsid w:val="0073441B"/>
    <w:rsid w:val="007346A0"/>
    <w:rsid w:val="0073475F"/>
    <w:rsid w:val="007348EF"/>
    <w:rsid w:val="00734BB4"/>
    <w:rsid w:val="007350D1"/>
    <w:rsid w:val="00735462"/>
    <w:rsid w:val="007355D3"/>
    <w:rsid w:val="007356E3"/>
    <w:rsid w:val="007358D2"/>
    <w:rsid w:val="007359FA"/>
    <w:rsid w:val="00735CCB"/>
    <w:rsid w:val="007368F9"/>
    <w:rsid w:val="00736BF9"/>
    <w:rsid w:val="00736F63"/>
    <w:rsid w:val="007370A6"/>
    <w:rsid w:val="007371A5"/>
    <w:rsid w:val="00737A30"/>
    <w:rsid w:val="00737B32"/>
    <w:rsid w:val="00737C75"/>
    <w:rsid w:val="00737E12"/>
    <w:rsid w:val="00737FE1"/>
    <w:rsid w:val="0074018D"/>
    <w:rsid w:val="00740662"/>
    <w:rsid w:val="00740AA1"/>
    <w:rsid w:val="0074107A"/>
    <w:rsid w:val="007410B0"/>
    <w:rsid w:val="007412F4"/>
    <w:rsid w:val="00741560"/>
    <w:rsid w:val="00741671"/>
    <w:rsid w:val="00741BCC"/>
    <w:rsid w:val="00741BF1"/>
    <w:rsid w:val="0074295A"/>
    <w:rsid w:val="007429CA"/>
    <w:rsid w:val="00742B99"/>
    <w:rsid w:val="00742C38"/>
    <w:rsid w:val="00742DA3"/>
    <w:rsid w:val="0074315D"/>
    <w:rsid w:val="00743557"/>
    <w:rsid w:val="00743FF0"/>
    <w:rsid w:val="00744393"/>
    <w:rsid w:val="007448E2"/>
    <w:rsid w:val="00744F0A"/>
    <w:rsid w:val="007451C7"/>
    <w:rsid w:val="00745225"/>
    <w:rsid w:val="0074537E"/>
    <w:rsid w:val="0074547C"/>
    <w:rsid w:val="00745967"/>
    <w:rsid w:val="00746346"/>
    <w:rsid w:val="007466B6"/>
    <w:rsid w:val="00746716"/>
    <w:rsid w:val="007469B0"/>
    <w:rsid w:val="00746B93"/>
    <w:rsid w:val="00746EF0"/>
    <w:rsid w:val="00747392"/>
    <w:rsid w:val="0074771B"/>
    <w:rsid w:val="00747BD7"/>
    <w:rsid w:val="00747C06"/>
    <w:rsid w:val="00750DD0"/>
    <w:rsid w:val="0075126E"/>
    <w:rsid w:val="007514D7"/>
    <w:rsid w:val="00751707"/>
    <w:rsid w:val="00751752"/>
    <w:rsid w:val="007517EE"/>
    <w:rsid w:val="0075201C"/>
    <w:rsid w:val="007520EF"/>
    <w:rsid w:val="007522C7"/>
    <w:rsid w:val="00752767"/>
    <w:rsid w:val="0075295D"/>
    <w:rsid w:val="00752D88"/>
    <w:rsid w:val="00753027"/>
    <w:rsid w:val="0075319E"/>
    <w:rsid w:val="007533A4"/>
    <w:rsid w:val="00753E3A"/>
    <w:rsid w:val="007544C3"/>
    <w:rsid w:val="00754993"/>
    <w:rsid w:val="00754D3F"/>
    <w:rsid w:val="00754D82"/>
    <w:rsid w:val="00754DE8"/>
    <w:rsid w:val="00755432"/>
    <w:rsid w:val="007556FD"/>
    <w:rsid w:val="00755C06"/>
    <w:rsid w:val="00755DB0"/>
    <w:rsid w:val="00755E39"/>
    <w:rsid w:val="00756547"/>
    <w:rsid w:val="00756B09"/>
    <w:rsid w:val="00756EEB"/>
    <w:rsid w:val="00756F1A"/>
    <w:rsid w:val="007571EA"/>
    <w:rsid w:val="007571FF"/>
    <w:rsid w:val="00757227"/>
    <w:rsid w:val="007572EC"/>
    <w:rsid w:val="00757388"/>
    <w:rsid w:val="00757678"/>
    <w:rsid w:val="0075772A"/>
    <w:rsid w:val="007600F8"/>
    <w:rsid w:val="0076010A"/>
    <w:rsid w:val="0076020B"/>
    <w:rsid w:val="0076028F"/>
    <w:rsid w:val="007604C9"/>
    <w:rsid w:val="00760B48"/>
    <w:rsid w:val="00760C7B"/>
    <w:rsid w:val="00760F46"/>
    <w:rsid w:val="007611B5"/>
    <w:rsid w:val="0076124F"/>
    <w:rsid w:val="007613B7"/>
    <w:rsid w:val="00761810"/>
    <w:rsid w:val="007619D0"/>
    <w:rsid w:val="00761CD9"/>
    <w:rsid w:val="00761D8A"/>
    <w:rsid w:val="00761EDE"/>
    <w:rsid w:val="00762007"/>
    <w:rsid w:val="00762164"/>
    <w:rsid w:val="0076233F"/>
    <w:rsid w:val="00762442"/>
    <w:rsid w:val="0076249D"/>
    <w:rsid w:val="00762BE7"/>
    <w:rsid w:val="00762D9F"/>
    <w:rsid w:val="00762FE0"/>
    <w:rsid w:val="007631AF"/>
    <w:rsid w:val="0076339A"/>
    <w:rsid w:val="00763658"/>
    <w:rsid w:val="007636ED"/>
    <w:rsid w:val="00763873"/>
    <w:rsid w:val="0076392F"/>
    <w:rsid w:val="0076399F"/>
    <w:rsid w:val="00763EA4"/>
    <w:rsid w:val="00763F41"/>
    <w:rsid w:val="00764044"/>
    <w:rsid w:val="007646AF"/>
    <w:rsid w:val="00764AA1"/>
    <w:rsid w:val="00764E3D"/>
    <w:rsid w:val="0076545E"/>
    <w:rsid w:val="0076565B"/>
    <w:rsid w:val="00765A47"/>
    <w:rsid w:val="00765BCF"/>
    <w:rsid w:val="0076609F"/>
    <w:rsid w:val="007664A7"/>
    <w:rsid w:val="0076664B"/>
    <w:rsid w:val="007667E7"/>
    <w:rsid w:val="00766AF8"/>
    <w:rsid w:val="00766FA4"/>
    <w:rsid w:val="007670CA"/>
    <w:rsid w:val="00767202"/>
    <w:rsid w:val="007703D0"/>
    <w:rsid w:val="00770A1C"/>
    <w:rsid w:val="00770AEA"/>
    <w:rsid w:val="00771A7F"/>
    <w:rsid w:val="00771B1C"/>
    <w:rsid w:val="00771B52"/>
    <w:rsid w:val="00771C84"/>
    <w:rsid w:val="00771E24"/>
    <w:rsid w:val="00772522"/>
    <w:rsid w:val="00772561"/>
    <w:rsid w:val="00772E18"/>
    <w:rsid w:val="00773314"/>
    <w:rsid w:val="007734F4"/>
    <w:rsid w:val="00773A1C"/>
    <w:rsid w:val="00773DA0"/>
    <w:rsid w:val="00773DD3"/>
    <w:rsid w:val="007742B8"/>
    <w:rsid w:val="00774504"/>
    <w:rsid w:val="00774DF7"/>
    <w:rsid w:val="00775433"/>
    <w:rsid w:val="0077553B"/>
    <w:rsid w:val="007758FD"/>
    <w:rsid w:val="00777086"/>
    <w:rsid w:val="00777463"/>
    <w:rsid w:val="007775D7"/>
    <w:rsid w:val="007778E4"/>
    <w:rsid w:val="00777BE0"/>
    <w:rsid w:val="00777D4F"/>
    <w:rsid w:val="00777DD0"/>
    <w:rsid w:val="007801AC"/>
    <w:rsid w:val="00780314"/>
    <w:rsid w:val="0078034A"/>
    <w:rsid w:val="0078044D"/>
    <w:rsid w:val="007806A7"/>
    <w:rsid w:val="00780BA7"/>
    <w:rsid w:val="00780CA2"/>
    <w:rsid w:val="00780DAF"/>
    <w:rsid w:val="00781240"/>
    <w:rsid w:val="00781287"/>
    <w:rsid w:val="0078144F"/>
    <w:rsid w:val="0078170C"/>
    <w:rsid w:val="0078173E"/>
    <w:rsid w:val="0078173F"/>
    <w:rsid w:val="007818CA"/>
    <w:rsid w:val="00781AC4"/>
    <w:rsid w:val="00781CFE"/>
    <w:rsid w:val="00781D1E"/>
    <w:rsid w:val="0078238E"/>
    <w:rsid w:val="007823F9"/>
    <w:rsid w:val="007824AA"/>
    <w:rsid w:val="007824C2"/>
    <w:rsid w:val="007825C1"/>
    <w:rsid w:val="007826EF"/>
    <w:rsid w:val="0078276C"/>
    <w:rsid w:val="007827A0"/>
    <w:rsid w:val="00782875"/>
    <w:rsid w:val="00782A52"/>
    <w:rsid w:val="00782B0E"/>
    <w:rsid w:val="00783331"/>
    <w:rsid w:val="00783366"/>
    <w:rsid w:val="0078366B"/>
    <w:rsid w:val="00783726"/>
    <w:rsid w:val="00783D4D"/>
    <w:rsid w:val="007841AA"/>
    <w:rsid w:val="0078468E"/>
    <w:rsid w:val="00784A6D"/>
    <w:rsid w:val="00784BB6"/>
    <w:rsid w:val="00784E90"/>
    <w:rsid w:val="007855CC"/>
    <w:rsid w:val="00785B6D"/>
    <w:rsid w:val="00785C47"/>
    <w:rsid w:val="0078649C"/>
    <w:rsid w:val="007865C5"/>
    <w:rsid w:val="00786789"/>
    <w:rsid w:val="0078689A"/>
    <w:rsid w:val="00786B2B"/>
    <w:rsid w:val="00786E0E"/>
    <w:rsid w:val="00790436"/>
    <w:rsid w:val="00790754"/>
    <w:rsid w:val="00790E3B"/>
    <w:rsid w:val="007910CF"/>
    <w:rsid w:val="00791223"/>
    <w:rsid w:val="007913B5"/>
    <w:rsid w:val="00791504"/>
    <w:rsid w:val="00791781"/>
    <w:rsid w:val="00791923"/>
    <w:rsid w:val="00791973"/>
    <w:rsid w:val="00791C30"/>
    <w:rsid w:val="00791DB5"/>
    <w:rsid w:val="00792077"/>
    <w:rsid w:val="007928D6"/>
    <w:rsid w:val="00793099"/>
    <w:rsid w:val="007930EB"/>
    <w:rsid w:val="007932A5"/>
    <w:rsid w:val="007933EB"/>
    <w:rsid w:val="00793877"/>
    <w:rsid w:val="00793D17"/>
    <w:rsid w:val="00794217"/>
    <w:rsid w:val="00794A31"/>
    <w:rsid w:val="00794B7C"/>
    <w:rsid w:val="00794F54"/>
    <w:rsid w:val="007951C7"/>
    <w:rsid w:val="00795410"/>
    <w:rsid w:val="007954DA"/>
    <w:rsid w:val="00795726"/>
    <w:rsid w:val="00795E10"/>
    <w:rsid w:val="00796150"/>
    <w:rsid w:val="007961C4"/>
    <w:rsid w:val="00796678"/>
    <w:rsid w:val="0079690E"/>
    <w:rsid w:val="00796A2B"/>
    <w:rsid w:val="00796B62"/>
    <w:rsid w:val="00796C04"/>
    <w:rsid w:val="00796CF4"/>
    <w:rsid w:val="00796E22"/>
    <w:rsid w:val="00797331"/>
    <w:rsid w:val="00797567"/>
    <w:rsid w:val="00797972"/>
    <w:rsid w:val="00797B5B"/>
    <w:rsid w:val="007A00ED"/>
    <w:rsid w:val="007A05CB"/>
    <w:rsid w:val="007A06E6"/>
    <w:rsid w:val="007A06FB"/>
    <w:rsid w:val="007A0AE9"/>
    <w:rsid w:val="007A0CBD"/>
    <w:rsid w:val="007A0CED"/>
    <w:rsid w:val="007A0E94"/>
    <w:rsid w:val="007A11CE"/>
    <w:rsid w:val="007A1246"/>
    <w:rsid w:val="007A181C"/>
    <w:rsid w:val="007A1ADA"/>
    <w:rsid w:val="007A1D64"/>
    <w:rsid w:val="007A1F9C"/>
    <w:rsid w:val="007A205C"/>
    <w:rsid w:val="007A2384"/>
    <w:rsid w:val="007A2AA3"/>
    <w:rsid w:val="007A2CF4"/>
    <w:rsid w:val="007A2F91"/>
    <w:rsid w:val="007A3104"/>
    <w:rsid w:val="007A31C0"/>
    <w:rsid w:val="007A31F5"/>
    <w:rsid w:val="007A3796"/>
    <w:rsid w:val="007A39CF"/>
    <w:rsid w:val="007A3D3B"/>
    <w:rsid w:val="007A3D56"/>
    <w:rsid w:val="007A4656"/>
    <w:rsid w:val="007A46EC"/>
    <w:rsid w:val="007A48DA"/>
    <w:rsid w:val="007A4A95"/>
    <w:rsid w:val="007A4FD8"/>
    <w:rsid w:val="007A5281"/>
    <w:rsid w:val="007A55DB"/>
    <w:rsid w:val="007A5834"/>
    <w:rsid w:val="007A5D16"/>
    <w:rsid w:val="007A62C1"/>
    <w:rsid w:val="007A6C81"/>
    <w:rsid w:val="007A7172"/>
    <w:rsid w:val="007A71DC"/>
    <w:rsid w:val="007A721A"/>
    <w:rsid w:val="007A738A"/>
    <w:rsid w:val="007A77DA"/>
    <w:rsid w:val="007A798D"/>
    <w:rsid w:val="007A7CC0"/>
    <w:rsid w:val="007B06F0"/>
    <w:rsid w:val="007B07D4"/>
    <w:rsid w:val="007B0A8F"/>
    <w:rsid w:val="007B0CA3"/>
    <w:rsid w:val="007B1355"/>
    <w:rsid w:val="007B136F"/>
    <w:rsid w:val="007B137E"/>
    <w:rsid w:val="007B1592"/>
    <w:rsid w:val="007B192B"/>
    <w:rsid w:val="007B1D51"/>
    <w:rsid w:val="007B1F60"/>
    <w:rsid w:val="007B23C8"/>
    <w:rsid w:val="007B26CA"/>
    <w:rsid w:val="007B26FA"/>
    <w:rsid w:val="007B27AB"/>
    <w:rsid w:val="007B2D58"/>
    <w:rsid w:val="007B30F3"/>
    <w:rsid w:val="007B3586"/>
    <w:rsid w:val="007B37B2"/>
    <w:rsid w:val="007B3F29"/>
    <w:rsid w:val="007B4161"/>
    <w:rsid w:val="007B5AA1"/>
    <w:rsid w:val="007B5C1D"/>
    <w:rsid w:val="007B663E"/>
    <w:rsid w:val="007B666C"/>
    <w:rsid w:val="007B6A7C"/>
    <w:rsid w:val="007B6A99"/>
    <w:rsid w:val="007B6CF6"/>
    <w:rsid w:val="007B755C"/>
    <w:rsid w:val="007B7860"/>
    <w:rsid w:val="007B78B7"/>
    <w:rsid w:val="007B7C64"/>
    <w:rsid w:val="007B7D7F"/>
    <w:rsid w:val="007B7F77"/>
    <w:rsid w:val="007C0026"/>
    <w:rsid w:val="007C0730"/>
    <w:rsid w:val="007C096A"/>
    <w:rsid w:val="007C1068"/>
    <w:rsid w:val="007C11B8"/>
    <w:rsid w:val="007C17A2"/>
    <w:rsid w:val="007C1905"/>
    <w:rsid w:val="007C1B9A"/>
    <w:rsid w:val="007C1E2B"/>
    <w:rsid w:val="007C229C"/>
    <w:rsid w:val="007C29C9"/>
    <w:rsid w:val="007C2AA1"/>
    <w:rsid w:val="007C30BD"/>
    <w:rsid w:val="007C335F"/>
    <w:rsid w:val="007C3CE7"/>
    <w:rsid w:val="007C3D44"/>
    <w:rsid w:val="007C3D9B"/>
    <w:rsid w:val="007C3E29"/>
    <w:rsid w:val="007C4044"/>
    <w:rsid w:val="007C40BB"/>
    <w:rsid w:val="007C434A"/>
    <w:rsid w:val="007C4751"/>
    <w:rsid w:val="007C4935"/>
    <w:rsid w:val="007C4C69"/>
    <w:rsid w:val="007C4CD1"/>
    <w:rsid w:val="007C4E52"/>
    <w:rsid w:val="007C51A5"/>
    <w:rsid w:val="007C58A8"/>
    <w:rsid w:val="007C5E69"/>
    <w:rsid w:val="007C600E"/>
    <w:rsid w:val="007C62BF"/>
    <w:rsid w:val="007C62DB"/>
    <w:rsid w:val="007C65CC"/>
    <w:rsid w:val="007C6E48"/>
    <w:rsid w:val="007C7077"/>
    <w:rsid w:val="007C751A"/>
    <w:rsid w:val="007C75ED"/>
    <w:rsid w:val="007C7B7F"/>
    <w:rsid w:val="007C7E63"/>
    <w:rsid w:val="007D01EE"/>
    <w:rsid w:val="007D02AD"/>
    <w:rsid w:val="007D05FE"/>
    <w:rsid w:val="007D0D63"/>
    <w:rsid w:val="007D1164"/>
    <w:rsid w:val="007D13D5"/>
    <w:rsid w:val="007D174D"/>
    <w:rsid w:val="007D19F1"/>
    <w:rsid w:val="007D1B4F"/>
    <w:rsid w:val="007D1CF3"/>
    <w:rsid w:val="007D1E1D"/>
    <w:rsid w:val="007D210C"/>
    <w:rsid w:val="007D23DB"/>
    <w:rsid w:val="007D251D"/>
    <w:rsid w:val="007D26A3"/>
    <w:rsid w:val="007D282C"/>
    <w:rsid w:val="007D2FC1"/>
    <w:rsid w:val="007D302F"/>
    <w:rsid w:val="007D34E9"/>
    <w:rsid w:val="007D358F"/>
    <w:rsid w:val="007D4221"/>
    <w:rsid w:val="007D4534"/>
    <w:rsid w:val="007D45D6"/>
    <w:rsid w:val="007D4ACB"/>
    <w:rsid w:val="007D5319"/>
    <w:rsid w:val="007D53D5"/>
    <w:rsid w:val="007D5406"/>
    <w:rsid w:val="007D5548"/>
    <w:rsid w:val="007D56E5"/>
    <w:rsid w:val="007D575E"/>
    <w:rsid w:val="007D58AA"/>
    <w:rsid w:val="007D59B1"/>
    <w:rsid w:val="007D59D7"/>
    <w:rsid w:val="007D5B21"/>
    <w:rsid w:val="007D5B5A"/>
    <w:rsid w:val="007D5F07"/>
    <w:rsid w:val="007D5F5F"/>
    <w:rsid w:val="007D601C"/>
    <w:rsid w:val="007D675B"/>
    <w:rsid w:val="007D67C3"/>
    <w:rsid w:val="007D67ED"/>
    <w:rsid w:val="007D68F6"/>
    <w:rsid w:val="007D6C1C"/>
    <w:rsid w:val="007D70A1"/>
    <w:rsid w:val="007D71B8"/>
    <w:rsid w:val="007D7590"/>
    <w:rsid w:val="007E0048"/>
    <w:rsid w:val="007E0285"/>
    <w:rsid w:val="007E0448"/>
    <w:rsid w:val="007E05D3"/>
    <w:rsid w:val="007E07EC"/>
    <w:rsid w:val="007E0C17"/>
    <w:rsid w:val="007E1335"/>
    <w:rsid w:val="007E1A7F"/>
    <w:rsid w:val="007E1B21"/>
    <w:rsid w:val="007E2306"/>
    <w:rsid w:val="007E2956"/>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6AA0"/>
    <w:rsid w:val="007E705D"/>
    <w:rsid w:val="007E7329"/>
    <w:rsid w:val="007E7445"/>
    <w:rsid w:val="007E751D"/>
    <w:rsid w:val="007E771A"/>
    <w:rsid w:val="007E7ABA"/>
    <w:rsid w:val="007E7EB1"/>
    <w:rsid w:val="007E7FBB"/>
    <w:rsid w:val="007F0233"/>
    <w:rsid w:val="007F09C3"/>
    <w:rsid w:val="007F0E42"/>
    <w:rsid w:val="007F12FE"/>
    <w:rsid w:val="007F1306"/>
    <w:rsid w:val="007F189B"/>
    <w:rsid w:val="007F1CD1"/>
    <w:rsid w:val="007F24E3"/>
    <w:rsid w:val="007F28F6"/>
    <w:rsid w:val="007F2A61"/>
    <w:rsid w:val="007F2C5C"/>
    <w:rsid w:val="007F2CAD"/>
    <w:rsid w:val="007F2F3D"/>
    <w:rsid w:val="007F34E6"/>
    <w:rsid w:val="007F3764"/>
    <w:rsid w:val="007F3913"/>
    <w:rsid w:val="007F3BE7"/>
    <w:rsid w:val="007F3F5A"/>
    <w:rsid w:val="007F40F2"/>
    <w:rsid w:val="007F4590"/>
    <w:rsid w:val="007F4E67"/>
    <w:rsid w:val="007F5573"/>
    <w:rsid w:val="007F5A83"/>
    <w:rsid w:val="007F5B9A"/>
    <w:rsid w:val="007F5D8E"/>
    <w:rsid w:val="007F6477"/>
    <w:rsid w:val="007F64BC"/>
    <w:rsid w:val="007F69C8"/>
    <w:rsid w:val="007F69E3"/>
    <w:rsid w:val="007F6AE1"/>
    <w:rsid w:val="007F723D"/>
    <w:rsid w:val="007F7269"/>
    <w:rsid w:val="007F74DE"/>
    <w:rsid w:val="007F7644"/>
    <w:rsid w:val="007F76F8"/>
    <w:rsid w:val="007F790C"/>
    <w:rsid w:val="007F7F94"/>
    <w:rsid w:val="008000A2"/>
    <w:rsid w:val="0080079C"/>
    <w:rsid w:val="008008FC"/>
    <w:rsid w:val="00801228"/>
    <w:rsid w:val="00801428"/>
    <w:rsid w:val="008014EA"/>
    <w:rsid w:val="00801512"/>
    <w:rsid w:val="00801D98"/>
    <w:rsid w:val="00801E4B"/>
    <w:rsid w:val="008026AC"/>
    <w:rsid w:val="00802752"/>
    <w:rsid w:val="0080283D"/>
    <w:rsid w:val="00802C86"/>
    <w:rsid w:val="00802E93"/>
    <w:rsid w:val="008030E7"/>
    <w:rsid w:val="0080316B"/>
    <w:rsid w:val="0080328F"/>
    <w:rsid w:val="008033EE"/>
    <w:rsid w:val="0080344A"/>
    <w:rsid w:val="0080348D"/>
    <w:rsid w:val="00803DC4"/>
    <w:rsid w:val="00803E8C"/>
    <w:rsid w:val="00804111"/>
    <w:rsid w:val="008048A3"/>
    <w:rsid w:val="00804CAB"/>
    <w:rsid w:val="00804DCE"/>
    <w:rsid w:val="00806291"/>
    <w:rsid w:val="008062CA"/>
    <w:rsid w:val="008065DF"/>
    <w:rsid w:val="008068C2"/>
    <w:rsid w:val="00807133"/>
    <w:rsid w:val="00807170"/>
    <w:rsid w:val="00807F2F"/>
    <w:rsid w:val="00810093"/>
    <w:rsid w:val="0081054C"/>
    <w:rsid w:val="00810933"/>
    <w:rsid w:val="00810BA3"/>
    <w:rsid w:val="00810C38"/>
    <w:rsid w:val="00811265"/>
    <w:rsid w:val="0081163A"/>
    <w:rsid w:val="00811BAF"/>
    <w:rsid w:val="0081217E"/>
    <w:rsid w:val="008121FF"/>
    <w:rsid w:val="008126AB"/>
    <w:rsid w:val="00812766"/>
    <w:rsid w:val="00812D90"/>
    <w:rsid w:val="00813448"/>
    <w:rsid w:val="0081423A"/>
    <w:rsid w:val="00814313"/>
    <w:rsid w:val="0081474B"/>
    <w:rsid w:val="008147A3"/>
    <w:rsid w:val="008147EC"/>
    <w:rsid w:val="008148E1"/>
    <w:rsid w:val="00814C2B"/>
    <w:rsid w:val="00814D64"/>
    <w:rsid w:val="008152AC"/>
    <w:rsid w:val="008154D4"/>
    <w:rsid w:val="008158DF"/>
    <w:rsid w:val="00815AD3"/>
    <w:rsid w:val="00815B92"/>
    <w:rsid w:val="00815B9B"/>
    <w:rsid w:val="00816AB7"/>
    <w:rsid w:val="00816FE6"/>
    <w:rsid w:val="00817259"/>
    <w:rsid w:val="00817414"/>
    <w:rsid w:val="00817562"/>
    <w:rsid w:val="00817744"/>
    <w:rsid w:val="0082006A"/>
    <w:rsid w:val="0082014E"/>
    <w:rsid w:val="008201E3"/>
    <w:rsid w:val="0082055E"/>
    <w:rsid w:val="008205EF"/>
    <w:rsid w:val="00820973"/>
    <w:rsid w:val="00820BAB"/>
    <w:rsid w:val="00820FFE"/>
    <w:rsid w:val="0082123B"/>
    <w:rsid w:val="00821972"/>
    <w:rsid w:val="00821DC8"/>
    <w:rsid w:val="00821F62"/>
    <w:rsid w:val="00822071"/>
    <w:rsid w:val="008221F9"/>
    <w:rsid w:val="00822ADD"/>
    <w:rsid w:val="00822C99"/>
    <w:rsid w:val="00822CAA"/>
    <w:rsid w:val="00822F4C"/>
    <w:rsid w:val="008236DC"/>
    <w:rsid w:val="00823E8A"/>
    <w:rsid w:val="00823F27"/>
    <w:rsid w:val="008240E4"/>
    <w:rsid w:val="0082412B"/>
    <w:rsid w:val="0082424A"/>
    <w:rsid w:val="008242B6"/>
    <w:rsid w:val="008243F6"/>
    <w:rsid w:val="0082445B"/>
    <w:rsid w:val="008249CC"/>
    <w:rsid w:val="00824F90"/>
    <w:rsid w:val="008259B7"/>
    <w:rsid w:val="00825F59"/>
    <w:rsid w:val="00826056"/>
    <w:rsid w:val="008268BB"/>
    <w:rsid w:val="00826B7A"/>
    <w:rsid w:val="00826BF3"/>
    <w:rsid w:val="00826C2D"/>
    <w:rsid w:val="00826F9A"/>
    <w:rsid w:val="00827005"/>
    <w:rsid w:val="0082793D"/>
    <w:rsid w:val="008300F2"/>
    <w:rsid w:val="0083034E"/>
    <w:rsid w:val="00830526"/>
    <w:rsid w:val="008305F8"/>
    <w:rsid w:val="00830979"/>
    <w:rsid w:val="00830B95"/>
    <w:rsid w:val="00830D58"/>
    <w:rsid w:val="00830FDA"/>
    <w:rsid w:val="0083121B"/>
    <w:rsid w:val="0083155A"/>
    <w:rsid w:val="00831A85"/>
    <w:rsid w:val="00831BD1"/>
    <w:rsid w:val="00831C72"/>
    <w:rsid w:val="00832366"/>
    <w:rsid w:val="008323FF"/>
    <w:rsid w:val="008327B7"/>
    <w:rsid w:val="008327E9"/>
    <w:rsid w:val="00832A04"/>
    <w:rsid w:val="008331A8"/>
    <w:rsid w:val="00833962"/>
    <w:rsid w:val="0083401E"/>
    <w:rsid w:val="00834467"/>
    <w:rsid w:val="008349CC"/>
    <w:rsid w:val="00834B5B"/>
    <w:rsid w:val="00834DFE"/>
    <w:rsid w:val="00834FB2"/>
    <w:rsid w:val="0083511B"/>
    <w:rsid w:val="00835558"/>
    <w:rsid w:val="008357AE"/>
    <w:rsid w:val="008364A3"/>
    <w:rsid w:val="00836812"/>
    <w:rsid w:val="008368BB"/>
    <w:rsid w:val="00836B42"/>
    <w:rsid w:val="00836E07"/>
    <w:rsid w:val="00837477"/>
    <w:rsid w:val="00837B10"/>
    <w:rsid w:val="00837CD0"/>
    <w:rsid w:val="0084004E"/>
    <w:rsid w:val="0084034D"/>
    <w:rsid w:val="008409FF"/>
    <w:rsid w:val="00840F84"/>
    <w:rsid w:val="00840FFD"/>
    <w:rsid w:val="0084116D"/>
    <w:rsid w:val="00841349"/>
    <w:rsid w:val="008413E7"/>
    <w:rsid w:val="008415C9"/>
    <w:rsid w:val="00841FF9"/>
    <w:rsid w:val="00842390"/>
    <w:rsid w:val="00842413"/>
    <w:rsid w:val="00842570"/>
    <w:rsid w:val="00842F58"/>
    <w:rsid w:val="008435F4"/>
    <w:rsid w:val="008438AD"/>
    <w:rsid w:val="00843BEA"/>
    <w:rsid w:val="00844178"/>
    <w:rsid w:val="00844390"/>
    <w:rsid w:val="00844498"/>
    <w:rsid w:val="0084457A"/>
    <w:rsid w:val="00844A96"/>
    <w:rsid w:val="00844DE4"/>
    <w:rsid w:val="008459B4"/>
    <w:rsid w:val="008459DC"/>
    <w:rsid w:val="00845A4B"/>
    <w:rsid w:val="00845FE8"/>
    <w:rsid w:val="008461E0"/>
    <w:rsid w:val="008463DD"/>
    <w:rsid w:val="008464B2"/>
    <w:rsid w:val="008464CA"/>
    <w:rsid w:val="008469C2"/>
    <w:rsid w:val="008477AF"/>
    <w:rsid w:val="00847D33"/>
    <w:rsid w:val="00847E69"/>
    <w:rsid w:val="00850148"/>
    <w:rsid w:val="008501F3"/>
    <w:rsid w:val="0085023E"/>
    <w:rsid w:val="008502F6"/>
    <w:rsid w:val="00850458"/>
    <w:rsid w:val="00850839"/>
    <w:rsid w:val="00850997"/>
    <w:rsid w:val="00850A76"/>
    <w:rsid w:val="00850C40"/>
    <w:rsid w:val="00850CB8"/>
    <w:rsid w:val="00851140"/>
    <w:rsid w:val="00851156"/>
    <w:rsid w:val="0085133B"/>
    <w:rsid w:val="008513DD"/>
    <w:rsid w:val="008516B7"/>
    <w:rsid w:val="0085190E"/>
    <w:rsid w:val="00851952"/>
    <w:rsid w:val="0085198C"/>
    <w:rsid w:val="008519AB"/>
    <w:rsid w:val="00851B2E"/>
    <w:rsid w:val="00851C06"/>
    <w:rsid w:val="00851D82"/>
    <w:rsid w:val="00852214"/>
    <w:rsid w:val="00852344"/>
    <w:rsid w:val="0085281F"/>
    <w:rsid w:val="00852944"/>
    <w:rsid w:val="00852B35"/>
    <w:rsid w:val="00852DD4"/>
    <w:rsid w:val="00852F9D"/>
    <w:rsid w:val="00853373"/>
    <w:rsid w:val="00853B35"/>
    <w:rsid w:val="00853C96"/>
    <w:rsid w:val="008547B0"/>
    <w:rsid w:val="008547BD"/>
    <w:rsid w:val="0085481E"/>
    <w:rsid w:val="00854B57"/>
    <w:rsid w:val="00854BB8"/>
    <w:rsid w:val="00854DB2"/>
    <w:rsid w:val="0085583F"/>
    <w:rsid w:val="00855BDB"/>
    <w:rsid w:val="00855E2E"/>
    <w:rsid w:val="00856167"/>
    <w:rsid w:val="008563A7"/>
    <w:rsid w:val="008563D4"/>
    <w:rsid w:val="008567BC"/>
    <w:rsid w:val="0085689D"/>
    <w:rsid w:val="0085692D"/>
    <w:rsid w:val="00856A6B"/>
    <w:rsid w:val="00857024"/>
    <w:rsid w:val="0085782F"/>
    <w:rsid w:val="00857995"/>
    <w:rsid w:val="00857F60"/>
    <w:rsid w:val="0086011A"/>
    <w:rsid w:val="008607B6"/>
    <w:rsid w:val="00860A42"/>
    <w:rsid w:val="00860C5C"/>
    <w:rsid w:val="00860EA3"/>
    <w:rsid w:val="00861CAC"/>
    <w:rsid w:val="00861E55"/>
    <w:rsid w:val="00862220"/>
    <w:rsid w:val="0086266C"/>
    <w:rsid w:val="00862AFA"/>
    <w:rsid w:val="00862F14"/>
    <w:rsid w:val="008634C3"/>
    <w:rsid w:val="00863517"/>
    <w:rsid w:val="008635F7"/>
    <w:rsid w:val="008639AC"/>
    <w:rsid w:val="00863BA8"/>
    <w:rsid w:val="00863D0A"/>
    <w:rsid w:val="00863DB5"/>
    <w:rsid w:val="00863E9C"/>
    <w:rsid w:val="008644AF"/>
    <w:rsid w:val="00864827"/>
    <w:rsid w:val="00864910"/>
    <w:rsid w:val="00864C62"/>
    <w:rsid w:val="00865052"/>
    <w:rsid w:val="008654C5"/>
    <w:rsid w:val="00865594"/>
    <w:rsid w:val="00865753"/>
    <w:rsid w:val="00865A4D"/>
    <w:rsid w:val="00865CF8"/>
    <w:rsid w:val="00865F04"/>
    <w:rsid w:val="008671FE"/>
    <w:rsid w:val="00867360"/>
    <w:rsid w:val="0086747C"/>
    <w:rsid w:val="008675D9"/>
    <w:rsid w:val="008677C6"/>
    <w:rsid w:val="00867969"/>
    <w:rsid w:val="00867B5B"/>
    <w:rsid w:val="00867F2B"/>
    <w:rsid w:val="0087022F"/>
    <w:rsid w:val="008703DA"/>
    <w:rsid w:val="0087081C"/>
    <w:rsid w:val="008709E8"/>
    <w:rsid w:val="00870C02"/>
    <w:rsid w:val="00870DEA"/>
    <w:rsid w:val="008715C9"/>
    <w:rsid w:val="0087173D"/>
    <w:rsid w:val="00871849"/>
    <w:rsid w:val="00871C2E"/>
    <w:rsid w:val="008720CB"/>
    <w:rsid w:val="008723CD"/>
    <w:rsid w:val="008723F8"/>
    <w:rsid w:val="00872659"/>
    <w:rsid w:val="008726CC"/>
    <w:rsid w:val="00873478"/>
    <w:rsid w:val="008736F2"/>
    <w:rsid w:val="0087392B"/>
    <w:rsid w:val="00873D60"/>
    <w:rsid w:val="00873EA2"/>
    <w:rsid w:val="00873EFF"/>
    <w:rsid w:val="00873FB5"/>
    <w:rsid w:val="00874056"/>
    <w:rsid w:val="00874331"/>
    <w:rsid w:val="008744EE"/>
    <w:rsid w:val="00874BDC"/>
    <w:rsid w:val="00874C04"/>
    <w:rsid w:val="00874FC3"/>
    <w:rsid w:val="00875158"/>
    <w:rsid w:val="008752D8"/>
    <w:rsid w:val="00875714"/>
    <w:rsid w:val="00875BC5"/>
    <w:rsid w:val="00875DB1"/>
    <w:rsid w:val="00875DBE"/>
    <w:rsid w:val="00875E74"/>
    <w:rsid w:val="00875F00"/>
    <w:rsid w:val="0087616B"/>
    <w:rsid w:val="00876250"/>
    <w:rsid w:val="008762FE"/>
    <w:rsid w:val="008763CE"/>
    <w:rsid w:val="00876C5D"/>
    <w:rsid w:val="008771C1"/>
    <w:rsid w:val="008774DE"/>
    <w:rsid w:val="0087763B"/>
    <w:rsid w:val="00877972"/>
    <w:rsid w:val="00877B1A"/>
    <w:rsid w:val="00880262"/>
    <w:rsid w:val="00880500"/>
    <w:rsid w:val="008805CA"/>
    <w:rsid w:val="008805FA"/>
    <w:rsid w:val="0088111D"/>
    <w:rsid w:val="00881283"/>
    <w:rsid w:val="008812C6"/>
    <w:rsid w:val="0088154B"/>
    <w:rsid w:val="008822D0"/>
    <w:rsid w:val="008822FA"/>
    <w:rsid w:val="008827D0"/>
    <w:rsid w:val="008829BA"/>
    <w:rsid w:val="00882C3A"/>
    <w:rsid w:val="00883B6D"/>
    <w:rsid w:val="00883DD7"/>
    <w:rsid w:val="00884207"/>
    <w:rsid w:val="0088435E"/>
    <w:rsid w:val="00884E33"/>
    <w:rsid w:val="00884ED9"/>
    <w:rsid w:val="008851A5"/>
    <w:rsid w:val="00885284"/>
    <w:rsid w:val="0088537B"/>
    <w:rsid w:val="00885527"/>
    <w:rsid w:val="008859F7"/>
    <w:rsid w:val="00885BD8"/>
    <w:rsid w:val="00885E0A"/>
    <w:rsid w:val="00885F5E"/>
    <w:rsid w:val="00886073"/>
    <w:rsid w:val="008864D5"/>
    <w:rsid w:val="00886607"/>
    <w:rsid w:val="00886657"/>
    <w:rsid w:val="00886916"/>
    <w:rsid w:val="008877D1"/>
    <w:rsid w:val="008878D6"/>
    <w:rsid w:val="00887A4F"/>
    <w:rsid w:val="0089025D"/>
    <w:rsid w:val="00890672"/>
    <w:rsid w:val="00890762"/>
    <w:rsid w:val="00891B0D"/>
    <w:rsid w:val="00891BF5"/>
    <w:rsid w:val="00891F05"/>
    <w:rsid w:val="00891FFD"/>
    <w:rsid w:val="00892450"/>
    <w:rsid w:val="008926F9"/>
    <w:rsid w:val="00892AB3"/>
    <w:rsid w:val="00893018"/>
    <w:rsid w:val="0089335D"/>
    <w:rsid w:val="0089338C"/>
    <w:rsid w:val="00893814"/>
    <w:rsid w:val="00893E11"/>
    <w:rsid w:val="0089438A"/>
    <w:rsid w:val="00894398"/>
    <w:rsid w:val="00894A59"/>
    <w:rsid w:val="00894E81"/>
    <w:rsid w:val="008950FD"/>
    <w:rsid w:val="008956C6"/>
    <w:rsid w:val="008957F0"/>
    <w:rsid w:val="00895FEE"/>
    <w:rsid w:val="0089606E"/>
    <w:rsid w:val="0089616F"/>
    <w:rsid w:val="00896424"/>
    <w:rsid w:val="00896887"/>
    <w:rsid w:val="00896B6B"/>
    <w:rsid w:val="00896DFD"/>
    <w:rsid w:val="00896E4E"/>
    <w:rsid w:val="00896F12"/>
    <w:rsid w:val="00896F82"/>
    <w:rsid w:val="00896FC8"/>
    <w:rsid w:val="00897193"/>
    <w:rsid w:val="008975A0"/>
    <w:rsid w:val="008A0204"/>
    <w:rsid w:val="008A03E5"/>
    <w:rsid w:val="008A0AB9"/>
    <w:rsid w:val="008A0B6E"/>
    <w:rsid w:val="008A1621"/>
    <w:rsid w:val="008A1666"/>
    <w:rsid w:val="008A17F3"/>
    <w:rsid w:val="008A1B7E"/>
    <w:rsid w:val="008A2249"/>
    <w:rsid w:val="008A25A5"/>
    <w:rsid w:val="008A25B9"/>
    <w:rsid w:val="008A27B3"/>
    <w:rsid w:val="008A2C3C"/>
    <w:rsid w:val="008A2E14"/>
    <w:rsid w:val="008A2FE5"/>
    <w:rsid w:val="008A324A"/>
    <w:rsid w:val="008A35BC"/>
    <w:rsid w:val="008A38C3"/>
    <w:rsid w:val="008A3998"/>
    <w:rsid w:val="008A3AA8"/>
    <w:rsid w:val="008A3AE4"/>
    <w:rsid w:val="008A3B00"/>
    <w:rsid w:val="008A3B78"/>
    <w:rsid w:val="008A422E"/>
    <w:rsid w:val="008A4523"/>
    <w:rsid w:val="008A4A19"/>
    <w:rsid w:val="008A4CCF"/>
    <w:rsid w:val="008A51A7"/>
    <w:rsid w:val="008A5731"/>
    <w:rsid w:val="008A5ABA"/>
    <w:rsid w:val="008A5C12"/>
    <w:rsid w:val="008A5F6F"/>
    <w:rsid w:val="008A5F89"/>
    <w:rsid w:val="008A6271"/>
    <w:rsid w:val="008A6326"/>
    <w:rsid w:val="008A6502"/>
    <w:rsid w:val="008A6AFA"/>
    <w:rsid w:val="008A6B74"/>
    <w:rsid w:val="008A6EB1"/>
    <w:rsid w:val="008A791D"/>
    <w:rsid w:val="008B01B0"/>
    <w:rsid w:val="008B01D4"/>
    <w:rsid w:val="008B0292"/>
    <w:rsid w:val="008B0348"/>
    <w:rsid w:val="008B03C8"/>
    <w:rsid w:val="008B0463"/>
    <w:rsid w:val="008B0660"/>
    <w:rsid w:val="008B0AB5"/>
    <w:rsid w:val="008B0C02"/>
    <w:rsid w:val="008B1285"/>
    <w:rsid w:val="008B1296"/>
    <w:rsid w:val="008B1311"/>
    <w:rsid w:val="008B1370"/>
    <w:rsid w:val="008B15EE"/>
    <w:rsid w:val="008B1D08"/>
    <w:rsid w:val="008B1E63"/>
    <w:rsid w:val="008B2356"/>
    <w:rsid w:val="008B28CF"/>
    <w:rsid w:val="008B2903"/>
    <w:rsid w:val="008B2956"/>
    <w:rsid w:val="008B45BA"/>
    <w:rsid w:val="008B51C0"/>
    <w:rsid w:val="008B5382"/>
    <w:rsid w:val="008B53F6"/>
    <w:rsid w:val="008B561D"/>
    <w:rsid w:val="008B568F"/>
    <w:rsid w:val="008B574C"/>
    <w:rsid w:val="008B5978"/>
    <w:rsid w:val="008B5DD8"/>
    <w:rsid w:val="008B621E"/>
    <w:rsid w:val="008B64E9"/>
    <w:rsid w:val="008B6663"/>
    <w:rsid w:val="008B6B0D"/>
    <w:rsid w:val="008B6CE1"/>
    <w:rsid w:val="008B71E0"/>
    <w:rsid w:val="008B7302"/>
    <w:rsid w:val="008B7D50"/>
    <w:rsid w:val="008B7FBF"/>
    <w:rsid w:val="008C0182"/>
    <w:rsid w:val="008C04F2"/>
    <w:rsid w:val="008C14C0"/>
    <w:rsid w:val="008C1567"/>
    <w:rsid w:val="008C1868"/>
    <w:rsid w:val="008C1F4B"/>
    <w:rsid w:val="008C258F"/>
    <w:rsid w:val="008C275C"/>
    <w:rsid w:val="008C2B30"/>
    <w:rsid w:val="008C2BEA"/>
    <w:rsid w:val="008C2C61"/>
    <w:rsid w:val="008C2DF8"/>
    <w:rsid w:val="008C30D6"/>
    <w:rsid w:val="008C320F"/>
    <w:rsid w:val="008C3475"/>
    <w:rsid w:val="008C3895"/>
    <w:rsid w:val="008C3E19"/>
    <w:rsid w:val="008C4196"/>
    <w:rsid w:val="008C465B"/>
    <w:rsid w:val="008C46DD"/>
    <w:rsid w:val="008C48D4"/>
    <w:rsid w:val="008C4B36"/>
    <w:rsid w:val="008C580D"/>
    <w:rsid w:val="008C6067"/>
    <w:rsid w:val="008C60AC"/>
    <w:rsid w:val="008C6988"/>
    <w:rsid w:val="008C6EAA"/>
    <w:rsid w:val="008C6F96"/>
    <w:rsid w:val="008C7112"/>
    <w:rsid w:val="008C7126"/>
    <w:rsid w:val="008C75F9"/>
    <w:rsid w:val="008C7653"/>
    <w:rsid w:val="008C7822"/>
    <w:rsid w:val="008C784F"/>
    <w:rsid w:val="008C7AAA"/>
    <w:rsid w:val="008C7C7C"/>
    <w:rsid w:val="008C7DAA"/>
    <w:rsid w:val="008C7ECE"/>
    <w:rsid w:val="008D00AB"/>
    <w:rsid w:val="008D0501"/>
    <w:rsid w:val="008D07A0"/>
    <w:rsid w:val="008D0B43"/>
    <w:rsid w:val="008D1628"/>
    <w:rsid w:val="008D1CBE"/>
    <w:rsid w:val="008D1DFE"/>
    <w:rsid w:val="008D1EDF"/>
    <w:rsid w:val="008D28F0"/>
    <w:rsid w:val="008D31EA"/>
    <w:rsid w:val="008D3504"/>
    <w:rsid w:val="008D3893"/>
    <w:rsid w:val="008D39A5"/>
    <w:rsid w:val="008D4068"/>
    <w:rsid w:val="008D413B"/>
    <w:rsid w:val="008D428A"/>
    <w:rsid w:val="008D47A3"/>
    <w:rsid w:val="008D4B6E"/>
    <w:rsid w:val="008D4EE3"/>
    <w:rsid w:val="008D548C"/>
    <w:rsid w:val="008D5601"/>
    <w:rsid w:val="008D579A"/>
    <w:rsid w:val="008D669E"/>
    <w:rsid w:val="008D66D1"/>
    <w:rsid w:val="008D6793"/>
    <w:rsid w:val="008D6842"/>
    <w:rsid w:val="008D6CAC"/>
    <w:rsid w:val="008D73BF"/>
    <w:rsid w:val="008D7436"/>
    <w:rsid w:val="008D74BD"/>
    <w:rsid w:val="008D75C5"/>
    <w:rsid w:val="008D7C94"/>
    <w:rsid w:val="008E006C"/>
    <w:rsid w:val="008E0925"/>
    <w:rsid w:val="008E0D52"/>
    <w:rsid w:val="008E0E12"/>
    <w:rsid w:val="008E1194"/>
    <w:rsid w:val="008E1265"/>
    <w:rsid w:val="008E1301"/>
    <w:rsid w:val="008E1894"/>
    <w:rsid w:val="008E1998"/>
    <w:rsid w:val="008E1A18"/>
    <w:rsid w:val="008E1C4C"/>
    <w:rsid w:val="008E1CFF"/>
    <w:rsid w:val="008E1D3D"/>
    <w:rsid w:val="008E1FFA"/>
    <w:rsid w:val="008E21CA"/>
    <w:rsid w:val="008E23B9"/>
    <w:rsid w:val="008E28F8"/>
    <w:rsid w:val="008E29E4"/>
    <w:rsid w:val="008E2AED"/>
    <w:rsid w:val="008E2D4E"/>
    <w:rsid w:val="008E30EF"/>
    <w:rsid w:val="008E3971"/>
    <w:rsid w:val="008E39CE"/>
    <w:rsid w:val="008E3BE8"/>
    <w:rsid w:val="008E3CE4"/>
    <w:rsid w:val="008E3D7E"/>
    <w:rsid w:val="008E42AF"/>
    <w:rsid w:val="008E4D8C"/>
    <w:rsid w:val="008E4DEA"/>
    <w:rsid w:val="008E4F22"/>
    <w:rsid w:val="008E527F"/>
    <w:rsid w:val="008E52FD"/>
    <w:rsid w:val="008E53D2"/>
    <w:rsid w:val="008E5B17"/>
    <w:rsid w:val="008E5B64"/>
    <w:rsid w:val="008E5E59"/>
    <w:rsid w:val="008E5F71"/>
    <w:rsid w:val="008E6525"/>
    <w:rsid w:val="008E6A9A"/>
    <w:rsid w:val="008E6D97"/>
    <w:rsid w:val="008E715C"/>
    <w:rsid w:val="008E747F"/>
    <w:rsid w:val="008E779A"/>
    <w:rsid w:val="008E7E70"/>
    <w:rsid w:val="008F000C"/>
    <w:rsid w:val="008F0202"/>
    <w:rsid w:val="008F05E2"/>
    <w:rsid w:val="008F07F5"/>
    <w:rsid w:val="008F13F1"/>
    <w:rsid w:val="008F1D2A"/>
    <w:rsid w:val="008F2167"/>
    <w:rsid w:val="008F238E"/>
    <w:rsid w:val="008F26C8"/>
    <w:rsid w:val="008F298D"/>
    <w:rsid w:val="008F2B9B"/>
    <w:rsid w:val="008F3187"/>
    <w:rsid w:val="008F3611"/>
    <w:rsid w:val="008F3841"/>
    <w:rsid w:val="008F3999"/>
    <w:rsid w:val="008F3B1D"/>
    <w:rsid w:val="008F3B69"/>
    <w:rsid w:val="008F41F7"/>
    <w:rsid w:val="008F420B"/>
    <w:rsid w:val="008F4416"/>
    <w:rsid w:val="008F453A"/>
    <w:rsid w:val="008F48FC"/>
    <w:rsid w:val="008F4959"/>
    <w:rsid w:val="008F4A15"/>
    <w:rsid w:val="008F4E0B"/>
    <w:rsid w:val="008F4F60"/>
    <w:rsid w:val="008F5197"/>
    <w:rsid w:val="008F51EF"/>
    <w:rsid w:val="008F53E4"/>
    <w:rsid w:val="008F5901"/>
    <w:rsid w:val="008F5C8A"/>
    <w:rsid w:val="008F5D60"/>
    <w:rsid w:val="008F5E2A"/>
    <w:rsid w:val="008F62F9"/>
    <w:rsid w:val="008F68B2"/>
    <w:rsid w:val="008F6B68"/>
    <w:rsid w:val="009001DF"/>
    <w:rsid w:val="0090024F"/>
    <w:rsid w:val="009002D2"/>
    <w:rsid w:val="009002EC"/>
    <w:rsid w:val="0090070D"/>
    <w:rsid w:val="00900FCF"/>
    <w:rsid w:val="00901556"/>
    <w:rsid w:val="00901902"/>
    <w:rsid w:val="00901999"/>
    <w:rsid w:val="009019AA"/>
    <w:rsid w:val="00901D3C"/>
    <w:rsid w:val="009020B9"/>
    <w:rsid w:val="009020F5"/>
    <w:rsid w:val="0090273D"/>
    <w:rsid w:val="00902833"/>
    <w:rsid w:val="00903121"/>
    <w:rsid w:val="009032BD"/>
    <w:rsid w:val="009037CC"/>
    <w:rsid w:val="00903B95"/>
    <w:rsid w:val="00903D50"/>
    <w:rsid w:val="00904556"/>
    <w:rsid w:val="00904564"/>
    <w:rsid w:val="00904703"/>
    <w:rsid w:val="00904A60"/>
    <w:rsid w:val="00904B9A"/>
    <w:rsid w:val="009050CE"/>
    <w:rsid w:val="00905A07"/>
    <w:rsid w:val="00905A7E"/>
    <w:rsid w:val="00905EBD"/>
    <w:rsid w:val="0090609A"/>
    <w:rsid w:val="00906113"/>
    <w:rsid w:val="009061F7"/>
    <w:rsid w:val="00906749"/>
    <w:rsid w:val="00906C67"/>
    <w:rsid w:val="009070A6"/>
    <w:rsid w:val="00907516"/>
    <w:rsid w:val="009077E5"/>
    <w:rsid w:val="00907AD1"/>
    <w:rsid w:val="00907EB2"/>
    <w:rsid w:val="0091023A"/>
    <w:rsid w:val="00910498"/>
    <w:rsid w:val="0091081B"/>
    <w:rsid w:val="00910C10"/>
    <w:rsid w:val="00911081"/>
    <w:rsid w:val="00911691"/>
    <w:rsid w:val="009119DE"/>
    <w:rsid w:val="00911ADD"/>
    <w:rsid w:val="00911E8C"/>
    <w:rsid w:val="009126C8"/>
    <w:rsid w:val="00912B74"/>
    <w:rsid w:val="00912B86"/>
    <w:rsid w:val="00912C9E"/>
    <w:rsid w:val="00912DF8"/>
    <w:rsid w:val="00913081"/>
    <w:rsid w:val="00913DF4"/>
    <w:rsid w:val="009147E7"/>
    <w:rsid w:val="00914B20"/>
    <w:rsid w:val="00914D78"/>
    <w:rsid w:val="00914DC5"/>
    <w:rsid w:val="00914F0C"/>
    <w:rsid w:val="00915408"/>
    <w:rsid w:val="009154B0"/>
    <w:rsid w:val="0091557B"/>
    <w:rsid w:val="0091583F"/>
    <w:rsid w:val="00915B54"/>
    <w:rsid w:val="00915E0E"/>
    <w:rsid w:val="00915F88"/>
    <w:rsid w:val="009166B7"/>
    <w:rsid w:val="00916886"/>
    <w:rsid w:val="00916B03"/>
    <w:rsid w:val="00916B9C"/>
    <w:rsid w:val="009170CE"/>
    <w:rsid w:val="0091712F"/>
    <w:rsid w:val="009174EF"/>
    <w:rsid w:val="00917599"/>
    <w:rsid w:val="00917AA5"/>
    <w:rsid w:val="00917DB1"/>
    <w:rsid w:val="00920004"/>
    <w:rsid w:val="00920AF7"/>
    <w:rsid w:val="00921094"/>
    <w:rsid w:val="009219CF"/>
    <w:rsid w:val="00921CE1"/>
    <w:rsid w:val="00922030"/>
    <w:rsid w:val="00922837"/>
    <w:rsid w:val="00922F37"/>
    <w:rsid w:val="0092319A"/>
    <w:rsid w:val="00923627"/>
    <w:rsid w:val="0092399F"/>
    <w:rsid w:val="00923D78"/>
    <w:rsid w:val="00923D8D"/>
    <w:rsid w:val="00923DE9"/>
    <w:rsid w:val="00923EEE"/>
    <w:rsid w:val="00924404"/>
    <w:rsid w:val="0092443F"/>
    <w:rsid w:val="0092444B"/>
    <w:rsid w:val="0092459C"/>
    <w:rsid w:val="009247AD"/>
    <w:rsid w:val="009248AD"/>
    <w:rsid w:val="00924907"/>
    <w:rsid w:val="009249CE"/>
    <w:rsid w:val="00924EA8"/>
    <w:rsid w:val="009250C0"/>
    <w:rsid w:val="0092511E"/>
    <w:rsid w:val="00925521"/>
    <w:rsid w:val="009256D1"/>
    <w:rsid w:val="009257CF"/>
    <w:rsid w:val="00925EDA"/>
    <w:rsid w:val="00925F87"/>
    <w:rsid w:val="00926139"/>
    <w:rsid w:val="0092613D"/>
    <w:rsid w:val="009263DD"/>
    <w:rsid w:val="0092695E"/>
    <w:rsid w:val="00926B7F"/>
    <w:rsid w:val="00927595"/>
    <w:rsid w:val="00927695"/>
    <w:rsid w:val="00927888"/>
    <w:rsid w:val="00927B80"/>
    <w:rsid w:val="00927DB5"/>
    <w:rsid w:val="00927E16"/>
    <w:rsid w:val="00927F2F"/>
    <w:rsid w:val="009303FB"/>
    <w:rsid w:val="00930407"/>
    <w:rsid w:val="00930419"/>
    <w:rsid w:val="009304C8"/>
    <w:rsid w:val="00930BC0"/>
    <w:rsid w:val="00930F75"/>
    <w:rsid w:val="00931034"/>
    <w:rsid w:val="00931087"/>
    <w:rsid w:val="00931743"/>
    <w:rsid w:val="009319FC"/>
    <w:rsid w:val="00931C60"/>
    <w:rsid w:val="00931D75"/>
    <w:rsid w:val="00931F77"/>
    <w:rsid w:val="00932205"/>
    <w:rsid w:val="00932883"/>
    <w:rsid w:val="009328F5"/>
    <w:rsid w:val="00932B09"/>
    <w:rsid w:val="00932E44"/>
    <w:rsid w:val="0093356A"/>
    <w:rsid w:val="00933616"/>
    <w:rsid w:val="00933A7C"/>
    <w:rsid w:val="00933DD8"/>
    <w:rsid w:val="00934CC5"/>
    <w:rsid w:val="009359E3"/>
    <w:rsid w:val="00936382"/>
    <w:rsid w:val="009368A7"/>
    <w:rsid w:val="00936A09"/>
    <w:rsid w:val="00936DAE"/>
    <w:rsid w:val="00936FF1"/>
    <w:rsid w:val="00937002"/>
    <w:rsid w:val="0093743D"/>
    <w:rsid w:val="00937B84"/>
    <w:rsid w:val="00937D55"/>
    <w:rsid w:val="00937DF0"/>
    <w:rsid w:val="00937EE0"/>
    <w:rsid w:val="009408FE"/>
    <w:rsid w:val="00940F01"/>
    <w:rsid w:val="009410B5"/>
    <w:rsid w:val="009411CE"/>
    <w:rsid w:val="009415E8"/>
    <w:rsid w:val="00941639"/>
    <w:rsid w:val="00941690"/>
    <w:rsid w:val="009422A5"/>
    <w:rsid w:val="0094246A"/>
    <w:rsid w:val="00942B1B"/>
    <w:rsid w:val="00942EAA"/>
    <w:rsid w:val="0094301E"/>
    <w:rsid w:val="00943262"/>
    <w:rsid w:val="00943853"/>
    <w:rsid w:val="00943E55"/>
    <w:rsid w:val="00944989"/>
    <w:rsid w:val="00944DCC"/>
    <w:rsid w:val="00944F23"/>
    <w:rsid w:val="009450FE"/>
    <w:rsid w:val="00945157"/>
    <w:rsid w:val="00945485"/>
    <w:rsid w:val="00945C32"/>
    <w:rsid w:val="00945C8F"/>
    <w:rsid w:val="00946201"/>
    <w:rsid w:val="009463BE"/>
    <w:rsid w:val="00946440"/>
    <w:rsid w:val="009466D3"/>
    <w:rsid w:val="00946FAD"/>
    <w:rsid w:val="009501A6"/>
    <w:rsid w:val="009506E2"/>
    <w:rsid w:val="00950A43"/>
    <w:rsid w:val="00950B2E"/>
    <w:rsid w:val="00950B4E"/>
    <w:rsid w:val="00950BBD"/>
    <w:rsid w:val="00951270"/>
    <w:rsid w:val="009512B8"/>
    <w:rsid w:val="009516F6"/>
    <w:rsid w:val="0095191E"/>
    <w:rsid w:val="00951D23"/>
    <w:rsid w:val="0095215B"/>
    <w:rsid w:val="00952429"/>
    <w:rsid w:val="00952EAD"/>
    <w:rsid w:val="009530E5"/>
    <w:rsid w:val="0095328E"/>
    <w:rsid w:val="009536FC"/>
    <w:rsid w:val="0095426A"/>
    <w:rsid w:val="00954BD6"/>
    <w:rsid w:val="00954CEC"/>
    <w:rsid w:val="00954D87"/>
    <w:rsid w:val="00955BBD"/>
    <w:rsid w:val="00955CBA"/>
    <w:rsid w:val="009560E5"/>
    <w:rsid w:val="0095617B"/>
    <w:rsid w:val="009564C9"/>
    <w:rsid w:val="00956697"/>
    <w:rsid w:val="00956787"/>
    <w:rsid w:val="009575A0"/>
    <w:rsid w:val="0095773C"/>
    <w:rsid w:val="00957753"/>
    <w:rsid w:val="00957936"/>
    <w:rsid w:val="009579EE"/>
    <w:rsid w:val="009579F7"/>
    <w:rsid w:val="00957C1B"/>
    <w:rsid w:val="00957DA8"/>
    <w:rsid w:val="00957E8B"/>
    <w:rsid w:val="009604C4"/>
    <w:rsid w:val="009604F3"/>
    <w:rsid w:val="009606D0"/>
    <w:rsid w:val="00961055"/>
    <w:rsid w:val="009612C2"/>
    <w:rsid w:val="009613A2"/>
    <w:rsid w:val="0096141C"/>
    <w:rsid w:val="009616FE"/>
    <w:rsid w:val="00961DE1"/>
    <w:rsid w:val="009620D0"/>
    <w:rsid w:val="00962E14"/>
    <w:rsid w:val="00962EC1"/>
    <w:rsid w:val="00963ACB"/>
    <w:rsid w:val="00963D9E"/>
    <w:rsid w:val="00964089"/>
    <w:rsid w:val="0096410E"/>
    <w:rsid w:val="009642B7"/>
    <w:rsid w:val="009645AC"/>
    <w:rsid w:val="00964A1F"/>
    <w:rsid w:val="00964A3D"/>
    <w:rsid w:val="00964ABF"/>
    <w:rsid w:val="00964AD7"/>
    <w:rsid w:val="00964F10"/>
    <w:rsid w:val="00965455"/>
    <w:rsid w:val="00965485"/>
    <w:rsid w:val="00965A1A"/>
    <w:rsid w:val="00965B0F"/>
    <w:rsid w:val="00965BEA"/>
    <w:rsid w:val="00965D73"/>
    <w:rsid w:val="0096602B"/>
    <w:rsid w:val="0096632F"/>
    <w:rsid w:val="00966805"/>
    <w:rsid w:val="00966CDD"/>
    <w:rsid w:val="00966D86"/>
    <w:rsid w:val="00966E54"/>
    <w:rsid w:val="009670AF"/>
    <w:rsid w:val="00967A79"/>
    <w:rsid w:val="00967AF6"/>
    <w:rsid w:val="00967B9C"/>
    <w:rsid w:val="009700C9"/>
    <w:rsid w:val="00970BD9"/>
    <w:rsid w:val="00970EA4"/>
    <w:rsid w:val="00970FBB"/>
    <w:rsid w:val="00971B9B"/>
    <w:rsid w:val="00971DF9"/>
    <w:rsid w:val="009720E3"/>
    <w:rsid w:val="00972CB8"/>
    <w:rsid w:val="00972F36"/>
    <w:rsid w:val="009737F5"/>
    <w:rsid w:val="00973CF9"/>
    <w:rsid w:val="00973D85"/>
    <w:rsid w:val="00973F66"/>
    <w:rsid w:val="009741D8"/>
    <w:rsid w:val="009742F3"/>
    <w:rsid w:val="0097466B"/>
    <w:rsid w:val="00974A35"/>
    <w:rsid w:val="00975153"/>
    <w:rsid w:val="009753DA"/>
    <w:rsid w:val="00975679"/>
    <w:rsid w:val="00975838"/>
    <w:rsid w:val="00975A3C"/>
    <w:rsid w:val="00975F13"/>
    <w:rsid w:val="00975F49"/>
    <w:rsid w:val="0097696C"/>
    <w:rsid w:val="00977014"/>
    <w:rsid w:val="00977247"/>
    <w:rsid w:val="00977993"/>
    <w:rsid w:val="00977D8A"/>
    <w:rsid w:val="00977FA5"/>
    <w:rsid w:val="00980351"/>
    <w:rsid w:val="0098038E"/>
    <w:rsid w:val="009805A7"/>
    <w:rsid w:val="009806CA"/>
    <w:rsid w:val="00980EF8"/>
    <w:rsid w:val="00980F0D"/>
    <w:rsid w:val="0098158D"/>
    <w:rsid w:val="009819D9"/>
    <w:rsid w:val="00981CAE"/>
    <w:rsid w:val="00981FA8"/>
    <w:rsid w:val="00982088"/>
    <w:rsid w:val="00982125"/>
    <w:rsid w:val="00982F55"/>
    <w:rsid w:val="00983235"/>
    <w:rsid w:val="00983AB5"/>
    <w:rsid w:val="00983AFD"/>
    <w:rsid w:val="00983DCF"/>
    <w:rsid w:val="00983F4D"/>
    <w:rsid w:val="0098401B"/>
    <w:rsid w:val="0098429A"/>
    <w:rsid w:val="009845C8"/>
    <w:rsid w:val="00984682"/>
    <w:rsid w:val="009847AA"/>
    <w:rsid w:val="0098489E"/>
    <w:rsid w:val="00984A6C"/>
    <w:rsid w:val="00984D4C"/>
    <w:rsid w:val="009850A0"/>
    <w:rsid w:val="0098514C"/>
    <w:rsid w:val="0098545B"/>
    <w:rsid w:val="009854F7"/>
    <w:rsid w:val="009857EF"/>
    <w:rsid w:val="00985AC6"/>
    <w:rsid w:val="00985D98"/>
    <w:rsid w:val="00985FC0"/>
    <w:rsid w:val="00986069"/>
    <w:rsid w:val="0098611D"/>
    <w:rsid w:val="009862FF"/>
    <w:rsid w:val="009863ED"/>
    <w:rsid w:val="00986400"/>
    <w:rsid w:val="009864AE"/>
    <w:rsid w:val="0098758E"/>
    <w:rsid w:val="0098777E"/>
    <w:rsid w:val="0098785C"/>
    <w:rsid w:val="00987A14"/>
    <w:rsid w:val="009908F4"/>
    <w:rsid w:val="00990C98"/>
    <w:rsid w:val="00990DDE"/>
    <w:rsid w:val="00991222"/>
    <w:rsid w:val="0099158E"/>
    <w:rsid w:val="00991846"/>
    <w:rsid w:val="00991B1A"/>
    <w:rsid w:val="00991D0E"/>
    <w:rsid w:val="00991F38"/>
    <w:rsid w:val="00992041"/>
    <w:rsid w:val="00992179"/>
    <w:rsid w:val="009921FA"/>
    <w:rsid w:val="00992802"/>
    <w:rsid w:val="009928C6"/>
    <w:rsid w:val="009928DC"/>
    <w:rsid w:val="0099298A"/>
    <w:rsid w:val="0099308D"/>
    <w:rsid w:val="00993203"/>
    <w:rsid w:val="00993387"/>
    <w:rsid w:val="00993B80"/>
    <w:rsid w:val="0099409E"/>
    <w:rsid w:val="00994274"/>
    <w:rsid w:val="00994305"/>
    <w:rsid w:val="0099479A"/>
    <w:rsid w:val="009948F1"/>
    <w:rsid w:val="00994F80"/>
    <w:rsid w:val="009954E6"/>
    <w:rsid w:val="0099575D"/>
    <w:rsid w:val="00995A0A"/>
    <w:rsid w:val="00995A25"/>
    <w:rsid w:val="00995B8B"/>
    <w:rsid w:val="00995F1F"/>
    <w:rsid w:val="00996749"/>
    <w:rsid w:val="00996B53"/>
    <w:rsid w:val="00997417"/>
    <w:rsid w:val="009975F5"/>
    <w:rsid w:val="00997B7E"/>
    <w:rsid w:val="00997FC7"/>
    <w:rsid w:val="009A04A6"/>
    <w:rsid w:val="009A0B64"/>
    <w:rsid w:val="009A0F84"/>
    <w:rsid w:val="009A110B"/>
    <w:rsid w:val="009A1563"/>
    <w:rsid w:val="009A1E4F"/>
    <w:rsid w:val="009A21E2"/>
    <w:rsid w:val="009A21E3"/>
    <w:rsid w:val="009A24B3"/>
    <w:rsid w:val="009A268F"/>
    <w:rsid w:val="009A28D7"/>
    <w:rsid w:val="009A2D03"/>
    <w:rsid w:val="009A39DC"/>
    <w:rsid w:val="009A3B6A"/>
    <w:rsid w:val="009A3F27"/>
    <w:rsid w:val="009A43FC"/>
    <w:rsid w:val="009A4CB4"/>
    <w:rsid w:val="009A4EE2"/>
    <w:rsid w:val="009A5138"/>
    <w:rsid w:val="009A52B5"/>
    <w:rsid w:val="009A531C"/>
    <w:rsid w:val="009A5753"/>
    <w:rsid w:val="009A57EB"/>
    <w:rsid w:val="009A5967"/>
    <w:rsid w:val="009A5AB5"/>
    <w:rsid w:val="009A6437"/>
    <w:rsid w:val="009A6465"/>
    <w:rsid w:val="009A65B0"/>
    <w:rsid w:val="009A6612"/>
    <w:rsid w:val="009A667A"/>
    <w:rsid w:val="009A67A3"/>
    <w:rsid w:val="009A68C8"/>
    <w:rsid w:val="009A699B"/>
    <w:rsid w:val="009A6CA4"/>
    <w:rsid w:val="009A7168"/>
    <w:rsid w:val="009A71BC"/>
    <w:rsid w:val="009A7BA5"/>
    <w:rsid w:val="009A7E7C"/>
    <w:rsid w:val="009B018D"/>
    <w:rsid w:val="009B0729"/>
    <w:rsid w:val="009B103D"/>
    <w:rsid w:val="009B1313"/>
    <w:rsid w:val="009B180C"/>
    <w:rsid w:val="009B2036"/>
    <w:rsid w:val="009B209D"/>
    <w:rsid w:val="009B21D0"/>
    <w:rsid w:val="009B25E9"/>
    <w:rsid w:val="009B29AB"/>
    <w:rsid w:val="009B2C6E"/>
    <w:rsid w:val="009B3624"/>
    <w:rsid w:val="009B37AD"/>
    <w:rsid w:val="009B3C70"/>
    <w:rsid w:val="009B3EBA"/>
    <w:rsid w:val="009B3EFA"/>
    <w:rsid w:val="009B42F4"/>
    <w:rsid w:val="009B4A9B"/>
    <w:rsid w:val="009B585F"/>
    <w:rsid w:val="009B644B"/>
    <w:rsid w:val="009B68E6"/>
    <w:rsid w:val="009B6A52"/>
    <w:rsid w:val="009B6DDA"/>
    <w:rsid w:val="009B6EBC"/>
    <w:rsid w:val="009B6FAE"/>
    <w:rsid w:val="009B73DE"/>
    <w:rsid w:val="009B7A84"/>
    <w:rsid w:val="009B7A96"/>
    <w:rsid w:val="009B7ADB"/>
    <w:rsid w:val="009B7C85"/>
    <w:rsid w:val="009B7E02"/>
    <w:rsid w:val="009B7E22"/>
    <w:rsid w:val="009B7FD9"/>
    <w:rsid w:val="009C04E9"/>
    <w:rsid w:val="009C06AF"/>
    <w:rsid w:val="009C0871"/>
    <w:rsid w:val="009C089A"/>
    <w:rsid w:val="009C08B7"/>
    <w:rsid w:val="009C09B8"/>
    <w:rsid w:val="009C0B9A"/>
    <w:rsid w:val="009C0D95"/>
    <w:rsid w:val="009C0F42"/>
    <w:rsid w:val="009C163C"/>
    <w:rsid w:val="009C17C5"/>
    <w:rsid w:val="009C17E2"/>
    <w:rsid w:val="009C181F"/>
    <w:rsid w:val="009C1AD6"/>
    <w:rsid w:val="009C2214"/>
    <w:rsid w:val="009C239A"/>
    <w:rsid w:val="009C2B4F"/>
    <w:rsid w:val="009C2E14"/>
    <w:rsid w:val="009C3130"/>
    <w:rsid w:val="009C34BB"/>
    <w:rsid w:val="009C3668"/>
    <w:rsid w:val="009C36AB"/>
    <w:rsid w:val="009C387F"/>
    <w:rsid w:val="009C394D"/>
    <w:rsid w:val="009C3F9C"/>
    <w:rsid w:val="009C404D"/>
    <w:rsid w:val="009C42D6"/>
    <w:rsid w:val="009C4A1B"/>
    <w:rsid w:val="009C4AE7"/>
    <w:rsid w:val="009C4CDB"/>
    <w:rsid w:val="009C4DC8"/>
    <w:rsid w:val="009C4ECF"/>
    <w:rsid w:val="009C53E7"/>
    <w:rsid w:val="009C5699"/>
    <w:rsid w:val="009C610F"/>
    <w:rsid w:val="009C659F"/>
    <w:rsid w:val="009C65A2"/>
    <w:rsid w:val="009C6DB8"/>
    <w:rsid w:val="009C6EA2"/>
    <w:rsid w:val="009C77BF"/>
    <w:rsid w:val="009C7C12"/>
    <w:rsid w:val="009C7C37"/>
    <w:rsid w:val="009D0196"/>
    <w:rsid w:val="009D0201"/>
    <w:rsid w:val="009D0DB2"/>
    <w:rsid w:val="009D0EA9"/>
    <w:rsid w:val="009D0FD1"/>
    <w:rsid w:val="009D1077"/>
    <w:rsid w:val="009D11E4"/>
    <w:rsid w:val="009D1AA9"/>
    <w:rsid w:val="009D1D04"/>
    <w:rsid w:val="009D2210"/>
    <w:rsid w:val="009D23A2"/>
    <w:rsid w:val="009D262A"/>
    <w:rsid w:val="009D262C"/>
    <w:rsid w:val="009D29E0"/>
    <w:rsid w:val="009D2B03"/>
    <w:rsid w:val="009D2CBD"/>
    <w:rsid w:val="009D2F81"/>
    <w:rsid w:val="009D3F07"/>
    <w:rsid w:val="009D4309"/>
    <w:rsid w:val="009D4C9F"/>
    <w:rsid w:val="009D4D90"/>
    <w:rsid w:val="009D4F93"/>
    <w:rsid w:val="009D5054"/>
    <w:rsid w:val="009D5081"/>
    <w:rsid w:val="009D53F2"/>
    <w:rsid w:val="009D5402"/>
    <w:rsid w:val="009D5747"/>
    <w:rsid w:val="009D5F65"/>
    <w:rsid w:val="009D6407"/>
    <w:rsid w:val="009D649D"/>
    <w:rsid w:val="009D6576"/>
    <w:rsid w:val="009D65A0"/>
    <w:rsid w:val="009D65C9"/>
    <w:rsid w:val="009D6A08"/>
    <w:rsid w:val="009D6AC0"/>
    <w:rsid w:val="009D6C65"/>
    <w:rsid w:val="009D6D69"/>
    <w:rsid w:val="009D7226"/>
    <w:rsid w:val="009D72B3"/>
    <w:rsid w:val="009D73E3"/>
    <w:rsid w:val="009D78FA"/>
    <w:rsid w:val="009D7A5B"/>
    <w:rsid w:val="009D7DCA"/>
    <w:rsid w:val="009D7E2C"/>
    <w:rsid w:val="009E00F5"/>
    <w:rsid w:val="009E05A1"/>
    <w:rsid w:val="009E0E64"/>
    <w:rsid w:val="009E1113"/>
    <w:rsid w:val="009E1591"/>
    <w:rsid w:val="009E15BA"/>
    <w:rsid w:val="009E17D9"/>
    <w:rsid w:val="009E1A69"/>
    <w:rsid w:val="009E1B6C"/>
    <w:rsid w:val="009E24CA"/>
    <w:rsid w:val="009E25D4"/>
    <w:rsid w:val="009E3103"/>
    <w:rsid w:val="009E3284"/>
    <w:rsid w:val="009E3321"/>
    <w:rsid w:val="009E33BA"/>
    <w:rsid w:val="009E33D7"/>
    <w:rsid w:val="009E33EE"/>
    <w:rsid w:val="009E3CEB"/>
    <w:rsid w:val="009E3FF3"/>
    <w:rsid w:val="009E425A"/>
    <w:rsid w:val="009E4E20"/>
    <w:rsid w:val="009E505F"/>
    <w:rsid w:val="009E51CA"/>
    <w:rsid w:val="009E5F03"/>
    <w:rsid w:val="009E6094"/>
    <w:rsid w:val="009E610F"/>
    <w:rsid w:val="009E61EB"/>
    <w:rsid w:val="009E6753"/>
    <w:rsid w:val="009E688A"/>
    <w:rsid w:val="009E692D"/>
    <w:rsid w:val="009E6DDC"/>
    <w:rsid w:val="009E6EA8"/>
    <w:rsid w:val="009E6FCF"/>
    <w:rsid w:val="009E7068"/>
    <w:rsid w:val="009E72CB"/>
    <w:rsid w:val="009E73F1"/>
    <w:rsid w:val="009E7E26"/>
    <w:rsid w:val="009F0C2B"/>
    <w:rsid w:val="009F12F9"/>
    <w:rsid w:val="009F142E"/>
    <w:rsid w:val="009F1435"/>
    <w:rsid w:val="009F17B9"/>
    <w:rsid w:val="009F2187"/>
    <w:rsid w:val="009F22CF"/>
    <w:rsid w:val="009F3146"/>
    <w:rsid w:val="009F3357"/>
    <w:rsid w:val="009F3547"/>
    <w:rsid w:val="009F357F"/>
    <w:rsid w:val="009F364B"/>
    <w:rsid w:val="009F3787"/>
    <w:rsid w:val="009F384E"/>
    <w:rsid w:val="009F385A"/>
    <w:rsid w:val="009F3959"/>
    <w:rsid w:val="009F455F"/>
    <w:rsid w:val="009F456B"/>
    <w:rsid w:val="009F4D5A"/>
    <w:rsid w:val="009F50DF"/>
    <w:rsid w:val="009F5237"/>
    <w:rsid w:val="009F56AB"/>
    <w:rsid w:val="009F57AF"/>
    <w:rsid w:val="009F58DF"/>
    <w:rsid w:val="009F5D02"/>
    <w:rsid w:val="009F6117"/>
    <w:rsid w:val="009F6229"/>
    <w:rsid w:val="009F622D"/>
    <w:rsid w:val="009F6536"/>
    <w:rsid w:val="009F65D3"/>
    <w:rsid w:val="009F66E8"/>
    <w:rsid w:val="009F68F0"/>
    <w:rsid w:val="009F6A3F"/>
    <w:rsid w:val="009F6AB8"/>
    <w:rsid w:val="009F6E86"/>
    <w:rsid w:val="009F7015"/>
    <w:rsid w:val="009F7293"/>
    <w:rsid w:val="009F7437"/>
    <w:rsid w:val="009F7512"/>
    <w:rsid w:val="009F7857"/>
    <w:rsid w:val="009F79EB"/>
    <w:rsid w:val="00A00602"/>
    <w:rsid w:val="00A008B2"/>
    <w:rsid w:val="00A00FFC"/>
    <w:rsid w:val="00A0121D"/>
    <w:rsid w:val="00A0156B"/>
    <w:rsid w:val="00A0182E"/>
    <w:rsid w:val="00A018E6"/>
    <w:rsid w:val="00A01900"/>
    <w:rsid w:val="00A01AE7"/>
    <w:rsid w:val="00A02024"/>
    <w:rsid w:val="00A02E7A"/>
    <w:rsid w:val="00A032DC"/>
    <w:rsid w:val="00A032EE"/>
    <w:rsid w:val="00A03B4E"/>
    <w:rsid w:val="00A03DFB"/>
    <w:rsid w:val="00A03EDD"/>
    <w:rsid w:val="00A04005"/>
    <w:rsid w:val="00A04ADC"/>
    <w:rsid w:val="00A04C02"/>
    <w:rsid w:val="00A04C27"/>
    <w:rsid w:val="00A04F2A"/>
    <w:rsid w:val="00A05612"/>
    <w:rsid w:val="00A05DBE"/>
    <w:rsid w:val="00A063B1"/>
    <w:rsid w:val="00A06ABB"/>
    <w:rsid w:val="00A06AD0"/>
    <w:rsid w:val="00A06B15"/>
    <w:rsid w:val="00A06C25"/>
    <w:rsid w:val="00A07088"/>
    <w:rsid w:val="00A0751F"/>
    <w:rsid w:val="00A075DE"/>
    <w:rsid w:val="00A076CB"/>
    <w:rsid w:val="00A077BA"/>
    <w:rsid w:val="00A0794C"/>
    <w:rsid w:val="00A079E3"/>
    <w:rsid w:val="00A07AF7"/>
    <w:rsid w:val="00A07B61"/>
    <w:rsid w:val="00A07C9C"/>
    <w:rsid w:val="00A07F1E"/>
    <w:rsid w:val="00A10D39"/>
    <w:rsid w:val="00A10FDB"/>
    <w:rsid w:val="00A1156A"/>
    <w:rsid w:val="00A11AD2"/>
    <w:rsid w:val="00A11F58"/>
    <w:rsid w:val="00A12016"/>
    <w:rsid w:val="00A122AA"/>
    <w:rsid w:val="00A1242F"/>
    <w:rsid w:val="00A1287A"/>
    <w:rsid w:val="00A12940"/>
    <w:rsid w:val="00A12C70"/>
    <w:rsid w:val="00A12CE4"/>
    <w:rsid w:val="00A1328C"/>
    <w:rsid w:val="00A13377"/>
    <w:rsid w:val="00A135B0"/>
    <w:rsid w:val="00A13671"/>
    <w:rsid w:val="00A1395E"/>
    <w:rsid w:val="00A1400A"/>
    <w:rsid w:val="00A141FA"/>
    <w:rsid w:val="00A146D1"/>
    <w:rsid w:val="00A147A9"/>
    <w:rsid w:val="00A14E04"/>
    <w:rsid w:val="00A15012"/>
    <w:rsid w:val="00A1506E"/>
    <w:rsid w:val="00A150DF"/>
    <w:rsid w:val="00A150E9"/>
    <w:rsid w:val="00A1514F"/>
    <w:rsid w:val="00A152D9"/>
    <w:rsid w:val="00A15539"/>
    <w:rsid w:val="00A15544"/>
    <w:rsid w:val="00A1556E"/>
    <w:rsid w:val="00A15DBF"/>
    <w:rsid w:val="00A160D9"/>
    <w:rsid w:val="00A162F2"/>
    <w:rsid w:val="00A168B4"/>
    <w:rsid w:val="00A16D1B"/>
    <w:rsid w:val="00A16F8A"/>
    <w:rsid w:val="00A170DD"/>
    <w:rsid w:val="00A1710E"/>
    <w:rsid w:val="00A17435"/>
    <w:rsid w:val="00A17883"/>
    <w:rsid w:val="00A179E2"/>
    <w:rsid w:val="00A200E6"/>
    <w:rsid w:val="00A20330"/>
    <w:rsid w:val="00A205F5"/>
    <w:rsid w:val="00A20624"/>
    <w:rsid w:val="00A20838"/>
    <w:rsid w:val="00A20857"/>
    <w:rsid w:val="00A20997"/>
    <w:rsid w:val="00A20CA8"/>
    <w:rsid w:val="00A20E39"/>
    <w:rsid w:val="00A20F03"/>
    <w:rsid w:val="00A20F23"/>
    <w:rsid w:val="00A20FD3"/>
    <w:rsid w:val="00A215A1"/>
    <w:rsid w:val="00A217A3"/>
    <w:rsid w:val="00A217AB"/>
    <w:rsid w:val="00A21AD8"/>
    <w:rsid w:val="00A21B72"/>
    <w:rsid w:val="00A21B97"/>
    <w:rsid w:val="00A21BAC"/>
    <w:rsid w:val="00A21D55"/>
    <w:rsid w:val="00A21DAE"/>
    <w:rsid w:val="00A221B4"/>
    <w:rsid w:val="00A2235E"/>
    <w:rsid w:val="00A22490"/>
    <w:rsid w:val="00A2275D"/>
    <w:rsid w:val="00A228E9"/>
    <w:rsid w:val="00A22A43"/>
    <w:rsid w:val="00A22EC6"/>
    <w:rsid w:val="00A22F5D"/>
    <w:rsid w:val="00A22F70"/>
    <w:rsid w:val="00A23137"/>
    <w:rsid w:val="00A23559"/>
    <w:rsid w:val="00A235C2"/>
    <w:rsid w:val="00A23644"/>
    <w:rsid w:val="00A23999"/>
    <w:rsid w:val="00A23C96"/>
    <w:rsid w:val="00A23E9B"/>
    <w:rsid w:val="00A23F01"/>
    <w:rsid w:val="00A24133"/>
    <w:rsid w:val="00A243A3"/>
    <w:rsid w:val="00A245F3"/>
    <w:rsid w:val="00A2460A"/>
    <w:rsid w:val="00A24784"/>
    <w:rsid w:val="00A24F53"/>
    <w:rsid w:val="00A24F6F"/>
    <w:rsid w:val="00A2514B"/>
    <w:rsid w:val="00A25189"/>
    <w:rsid w:val="00A25192"/>
    <w:rsid w:val="00A255A1"/>
    <w:rsid w:val="00A25694"/>
    <w:rsid w:val="00A257FD"/>
    <w:rsid w:val="00A25ABE"/>
    <w:rsid w:val="00A25C82"/>
    <w:rsid w:val="00A2611F"/>
    <w:rsid w:val="00A26418"/>
    <w:rsid w:val="00A2645A"/>
    <w:rsid w:val="00A2661A"/>
    <w:rsid w:val="00A26A70"/>
    <w:rsid w:val="00A26CA1"/>
    <w:rsid w:val="00A26CE0"/>
    <w:rsid w:val="00A26E88"/>
    <w:rsid w:val="00A2716C"/>
    <w:rsid w:val="00A272A5"/>
    <w:rsid w:val="00A27384"/>
    <w:rsid w:val="00A274B1"/>
    <w:rsid w:val="00A27656"/>
    <w:rsid w:val="00A278C2"/>
    <w:rsid w:val="00A278ED"/>
    <w:rsid w:val="00A30214"/>
    <w:rsid w:val="00A306A3"/>
    <w:rsid w:val="00A308F7"/>
    <w:rsid w:val="00A30A4C"/>
    <w:rsid w:val="00A30B15"/>
    <w:rsid w:val="00A30CDE"/>
    <w:rsid w:val="00A30F44"/>
    <w:rsid w:val="00A31104"/>
    <w:rsid w:val="00A31230"/>
    <w:rsid w:val="00A313C7"/>
    <w:rsid w:val="00A316C7"/>
    <w:rsid w:val="00A318CD"/>
    <w:rsid w:val="00A31C08"/>
    <w:rsid w:val="00A32110"/>
    <w:rsid w:val="00A323F8"/>
    <w:rsid w:val="00A324E6"/>
    <w:rsid w:val="00A324E8"/>
    <w:rsid w:val="00A32976"/>
    <w:rsid w:val="00A33C06"/>
    <w:rsid w:val="00A344F5"/>
    <w:rsid w:val="00A3497D"/>
    <w:rsid w:val="00A356D0"/>
    <w:rsid w:val="00A35A01"/>
    <w:rsid w:val="00A36275"/>
    <w:rsid w:val="00A36303"/>
    <w:rsid w:val="00A36550"/>
    <w:rsid w:val="00A367F4"/>
    <w:rsid w:val="00A3690C"/>
    <w:rsid w:val="00A36A27"/>
    <w:rsid w:val="00A36E14"/>
    <w:rsid w:val="00A36EFB"/>
    <w:rsid w:val="00A36F86"/>
    <w:rsid w:val="00A37C64"/>
    <w:rsid w:val="00A37DF2"/>
    <w:rsid w:val="00A37EB8"/>
    <w:rsid w:val="00A405F1"/>
    <w:rsid w:val="00A40BC5"/>
    <w:rsid w:val="00A40BEE"/>
    <w:rsid w:val="00A40CE5"/>
    <w:rsid w:val="00A4108A"/>
    <w:rsid w:val="00A410F6"/>
    <w:rsid w:val="00A41489"/>
    <w:rsid w:val="00A41628"/>
    <w:rsid w:val="00A41808"/>
    <w:rsid w:val="00A41944"/>
    <w:rsid w:val="00A41D28"/>
    <w:rsid w:val="00A423D0"/>
    <w:rsid w:val="00A42B04"/>
    <w:rsid w:val="00A42FA3"/>
    <w:rsid w:val="00A43532"/>
    <w:rsid w:val="00A438FC"/>
    <w:rsid w:val="00A43911"/>
    <w:rsid w:val="00A43C72"/>
    <w:rsid w:val="00A43D37"/>
    <w:rsid w:val="00A4486E"/>
    <w:rsid w:val="00A44AE3"/>
    <w:rsid w:val="00A44C61"/>
    <w:rsid w:val="00A44F3C"/>
    <w:rsid w:val="00A4562C"/>
    <w:rsid w:val="00A457FA"/>
    <w:rsid w:val="00A45AB8"/>
    <w:rsid w:val="00A45BA7"/>
    <w:rsid w:val="00A45E22"/>
    <w:rsid w:val="00A46ABD"/>
    <w:rsid w:val="00A470DE"/>
    <w:rsid w:val="00A47B80"/>
    <w:rsid w:val="00A47EDC"/>
    <w:rsid w:val="00A47FD4"/>
    <w:rsid w:val="00A502FA"/>
    <w:rsid w:val="00A502FB"/>
    <w:rsid w:val="00A505E6"/>
    <w:rsid w:val="00A509A8"/>
    <w:rsid w:val="00A50CD9"/>
    <w:rsid w:val="00A5107F"/>
    <w:rsid w:val="00A51251"/>
    <w:rsid w:val="00A5134B"/>
    <w:rsid w:val="00A514C5"/>
    <w:rsid w:val="00A515E5"/>
    <w:rsid w:val="00A519AB"/>
    <w:rsid w:val="00A51A1B"/>
    <w:rsid w:val="00A51CEB"/>
    <w:rsid w:val="00A51EDE"/>
    <w:rsid w:val="00A521C4"/>
    <w:rsid w:val="00A5278C"/>
    <w:rsid w:val="00A52967"/>
    <w:rsid w:val="00A52A7A"/>
    <w:rsid w:val="00A52D1B"/>
    <w:rsid w:val="00A52EAB"/>
    <w:rsid w:val="00A536A6"/>
    <w:rsid w:val="00A53A2A"/>
    <w:rsid w:val="00A53D09"/>
    <w:rsid w:val="00A540B7"/>
    <w:rsid w:val="00A5424A"/>
    <w:rsid w:val="00A543E0"/>
    <w:rsid w:val="00A54446"/>
    <w:rsid w:val="00A544E6"/>
    <w:rsid w:val="00A54745"/>
    <w:rsid w:val="00A547A7"/>
    <w:rsid w:val="00A54D38"/>
    <w:rsid w:val="00A553B6"/>
    <w:rsid w:val="00A55655"/>
    <w:rsid w:val="00A5585F"/>
    <w:rsid w:val="00A55EB6"/>
    <w:rsid w:val="00A5689F"/>
    <w:rsid w:val="00A5690B"/>
    <w:rsid w:val="00A5694D"/>
    <w:rsid w:val="00A56CE6"/>
    <w:rsid w:val="00A56DBB"/>
    <w:rsid w:val="00A57043"/>
    <w:rsid w:val="00A571D0"/>
    <w:rsid w:val="00A57A51"/>
    <w:rsid w:val="00A57C8F"/>
    <w:rsid w:val="00A57D8F"/>
    <w:rsid w:val="00A57DC8"/>
    <w:rsid w:val="00A60085"/>
    <w:rsid w:val="00A60334"/>
    <w:rsid w:val="00A603D4"/>
    <w:rsid w:val="00A60684"/>
    <w:rsid w:val="00A607E6"/>
    <w:rsid w:val="00A60A8D"/>
    <w:rsid w:val="00A60BF3"/>
    <w:rsid w:val="00A60CD8"/>
    <w:rsid w:val="00A60D0E"/>
    <w:rsid w:val="00A60DCE"/>
    <w:rsid w:val="00A60E40"/>
    <w:rsid w:val="00A60E81"/>
    <w:rsid w:val="00A615DC"/>
    <w:rsid w:val="00A61621"/>
    <w:rsid w:val="00A61BE6"/>
    <w:rsid w:val="00A61C57"/>
    <w:rsid w:val="00A61F6B"/>
    <w:rsid w:val="00A62077"/>
    <w:rsid w:val="00A623B3"/>
    <w:rsid w:val="00A6240E"/>
    <w:rsid w:val="00A624F3"/>
    <w:rsid w:val="00A624FF"/>
    <w:rsid w:val="00A62509"/>
    <w:rsid w:val="00A627D3"/>
    <w:rsid w:val="00A628F0"/>
    <w:rsid w:val="00A62C8F"/>
    <w:rsid w:val="00A62CFF"/>
    <w:rsid w:val="00A62E44"/>
    <w:rsid w:val="00A63157"/>
    <w:rsid w:val="00A63370"/>
    <w:rsid w:val="00A635D0"/>
    <w:rsid w:val="00A63748"/>
    <w:rsid w:val="00A63AED"/>
    <w:rsid w:val="00A63F11"/>
    <w:rsid w:val="00A63F61"/>
    <w:rsid w:val="00A6430D"/>
    <w:rsid w:val="00A64388"/>
    <w:rsid w:val="00A646A5"/>
    <w:rsid w:val="00A646C5"/>
    <w:rsid w:val="00A6477A"/>
    <w:rsid w:val="00A64AC4"/>
    <w:rsid w:val="00A65514"/>
    <w:rsid w:val="00A6637E"/>
    <w:rsid w:val="00A6652B"/>
    <w:rsid w:val="00A66A52"/>
    <w:rsid w:val="00A66E3F"/>
    <w:rsid w:val="00A66EF9"/>
    <w:rsid w:val="00A67147"/>
    <w:rsid w:val="00A6761C"/>
    <w:rsid w:val="00A67A83"/>
    <w:rsid w:val="00A67AF5"/>
    <w:rsid w:val="00A67BD4"/>
    <w:rsid w:val="00A67F45"/>
    <w:rsid w:val="00A703E7"/>
    <w:rsid w:val="00A70689"/>
    <w:rsid w:val="00A70E9D"/>
    <w:rsid w:val="00A71362"/>
    <w:rsid w:val="00A717D3"/>
    <w:rsid w:val="00A71860"/>
    <w:rsid w:val="00A71AED"/>
    <w:rsid w:val="00A71B84"/>
    <w:rsid w:val="00A721D9"/>
    <w:rsid w:val="00A722BF"/>
    <w:rsid w:val="00A7244B"/>
    <w:rsid w:val="00A727FB"/>
    <w:rsid w:val="00A7289E"/>
    <w:rsid w:val="00A72F8B"/>
    <w:rsid w:val="00A72FF7"/>
    <w:rsid w:val="00A73059"/>
    <w:rsid w:val="00A73121"/>
    <w:rsid w:val="00A734C6"/>
    <w:rsid w:val="00A73AAD"/>
    <w:rsid w:val="00A73CAB"/>
    <w:rsid w:val="00A73D96"/>
    <w:rsid w:val="00A73EBE"/>
    <w:rsid w:val="00A7403D"/>
    <w:rsid w:val="00A74048"/>
    <w:rsid w:val="00A74528"/>
    <w:rsid w:val="00A74873"/>
    <w:rsid w:val="00A74F51"/>
    <w:rsid w:val="00A75133"/>
    <w:rsid w:val="00A752D3"/>
    <w:rsid w:val="00A75482"/>
    <w:rsid w:val="00A7565B"/>
    <w:rsid w:val="00A758CC"/>
    <w:rsid w:val="00A75AFD"/>
    <w:rsid w:val="00A75C0A"/>
    <w:rsid w:val="00A76359"/>
    <w:rsid w:val="00A763DA"/>
    <w:rsid w:val="00A76806"/>
    <w:rsid w:val="00A76973"/>
    <w:rsid w:val="00A769AA"/>
    <w:rsid w:val="00A769D2"/>
    <w:rsid w:val="00A76FAD"/>
    <w:rsid w:val="00A77187"/>
    <w:rsid w:val="00A7737D"/>
    <w:rsid w:val="00A77679"/>
    <w:rsid w:val="00A77789"/>
    <w:rsid w:val="00A778CE"/>
    <w:rsid w:val="00A77B09"/>
    <w:rsid w:val="00A77C7A"/>
    <w:rsid w:val="00A77EA0"/>
    <w:rsid w:val="00A77F42"/>
    <w:rsid w:val="00A800E8"/>
    <w:rsid w:val="00A80298"/>
    <w:rsid w:val="00A80459"/>
    <w:rsid w:val="00A8061D"/>
    <w:rsid w:val="00A80A52"/>
    <w:rsid w:val="00A80AF5"/>
    <w:rsid w:val="00A80BE4"/>
    <w:rsid w:val="00A81507"/>
    <w:rsid w:val="00A8165A"/>
    <w:rsid w:val="00A81A0C"/>
    <w:rsid w:val="00A81A2F"/>
    <w:rsid w:val="00A81B09"/>
    <w:rsid w:val="00A81BEB"/>
    <w:rsid w:val="00A8284D"/>
    <w:rsid w:val="00A82C1B"/>
    <w:rsid w:val="00A82E27"/>
    <w:rsid w:val="00A83786"/>
    <w:rsid w:val="00A83E67"/>
    <w:rsid w:val="00A83EC4"/>
    <w:rsid w:val="00A84301"/>
    <w:rsid w:val="00A84396"/>
    <w:rsid w:val="00A84988"/>
    <w:rsid w:val="00A84B75"/>
    <w:rsid w:val="00A84D03"/>
    <w:rsid w:val="00A85797"/>
    <w:rsid w:val="00A85BC3"/>
    <w:rsid w:val="00A8660D"/>
    <w:rsid w:val="00A867A3"/>
    <w:rsid w:val="00A86A7D"/>
    <w:rsid w:val="00A86B25"/>
    <w:rsid w:val="00A86EAA"/>
    <w:rsid w:val="00A8715A"/>
    <w:rsid w:val="00A87763"/>
    <w:rsid w:val="00A8785A"/>
    <w:rsid w:val="00A87AF7"/>
    <w:rsid w:val="00A87B6B"/>
    <w:rsid w:val="00A87F40"/>
    <w:rsid w:val="00A9047E"/>
    <w:rsid w:val="00A907A8"/>
    <w:rsid w:val="00A90F5C"/>
    <w:rsid w:val="00A9122B"/>
    <w:rsid w:val="00A917CE"/>
    <w:rsid w:val="00A9188E"/>
    <w:rsid w:val="00A91940"/>
    <w:rsid w:val="00A91B32"/>
    <w:rsid w:val="00A928E9"/>
    <w:rsid w:val="00A92969"/>
    <w:rsid w:val="00A92C30"/>
    <w:rsid w:val="00A92CCA"/>
    <w:rsid w:val="00A9346B"/>
    <w:rsid w:val="00A935A7"/>
    <w:rsid w:val="00A93E6A"/>
    <w:rsid w:val="00A93F0E"/>
    <w:rsid w:val="00A94017"/>
    <w:rsid w:val="00A94149"/>
    <w:rsid w:val="00A942FF"/>
    <w:rsid w:val="00A943B4"/>
    <w:rsid w:val="00A944C6"/>
    <w:rsid w:val="00A95944"/>
    <w:rsid w:val="00A959E1"/>
    <w:rsid w:val="00A95BC4"/>
    <w:rsid w:val="00A960CE"/>
    <w:rsid w:val="00A96165"/>
    <w:rsid w:val="00A9629E"/>
    <w:rsid w:val="00A96A6F"/>
    <w:rsid w:val="00A96B46"/>
    <w:rsid w:val="00A96CBC"/>
    <w:rsid w:val="00A96D51"/>
    <w:rsid w:val="00A96E5F"/>
    <w:rsid w:val="00A96E87"/>
    <w:rsid w:val="00A9704E"/>
    <w:rsid w:val="00A970B0"/>
    <w:rsid w:val="00A973F7"/>
    <w:rsid w:val="00A979F1"/>
    <w:rsid w:val="00A97E7A"/>
    <w:rsid w:val="00AA0264"/>
    <w:rsid w:val="00AA02ED"/>
    <w:rsid w:val="00AA0388"/>
    <w:rsid w:val="00AA0833"/>
    <w:rsid w:val="00AA0B41"/>
    <w:rsid w:val="00AA0BB9"/>
    <w:rsid w:val="00AA0CB5"/>
    <w:rsid w:val="00AA111F"/>
    <w:rsid w:val="00AA1445"/>
    <w:rsid w:val="00AA23E4"/>
    <w:rsid w:val="00AA2799"/>
    <w:rsid w:val="00AA2CC7"/>
    <w:rsid w:val="00AA30EC"/>
    <w:rsid w:val="00AA3325"/>
    <w:rsid w:val="00AA3350"/>
    <w:rsid w:val="00AA34B2"/>
    <w:rsid w:val="00AA35FE"/>
    <w:rsid w:val="00AA3734"/>
    <w:rsid w:val="00AA3917"/>
    <w:rsid w:val="00AA3E2F"/>
    <w:rsid w:val="00AA3EAF"/>
    <w:rsid w:val="00AA3EE1"/>
    <w:rsid w:val="00AA3F5F"/>
    <w:rsid w:val="00AA4119"/>
    <w:rsid w:val="00AA414C"/>
    <w:rsid w:val="00AA41C6"/>
    <w:rsid w:val="00AA47C9"/>
    <w:rsid w:val="00AA5249"/>
    <w:rsid w:val="00AA5510"/>
    <w:rsid w:val="00AA558B"/>
    <w:rsid w:val="00AA5BAB"/>
    <w:rsid w:val="00AA5FD2"/>
    <w:rsid w:val="00AA638C"/>
    <w:rsid w:val="00AA6646"/>
    <w:rsid w:val="00AA7131"/>
    <w:rsid w:val="00AA719D"/>
    <w:rsid w:val="00AA71CF"/>
    <w:rsid w:val="00AA747B"/>
    <w:rsid w:val="00AA750F"/>
    <w:rsid w:val="00AA798E"/>
    <w:rsid w:val="00AA79AD"/>
    <w:rsid w:val="00AA79C5"/>
    <w:rsid w:val="00AA7C22"/>
    <w:rsid w:val="00AA7C9B"/>
    <w:rsid w:val="00AA7D3E"/>
    <w:rsid w:val="00AA7E34"/>
    <w:rsid w:val="00AB09A0"/>
    <w:rsid w:val="00AB130D"/>
    <w:rsid w:val="00AB13B9"/>
    <w:rsid w:val="00AB1401"/>
    <w:rsid w:val="00AB1476"/>
    <w:rsid w:val="00AB1D65"/>
    <w:rsid w:val="00AB259D"/>
    <w:rsid w:val="00AB264F"/>
    <w:rsid w:val="00AB2C2B"/>
    <w:rsid w:val="00AB2FA6"/>
    <w:rsid w:val="00AB3359"/>
    <w:rsid w:val="00AB3381"/>
    <w:rsid w:val="00AB35DD"/>
    <w:rsid w:val="00AB38F0"/>
    <w:rsid w:val="00AB392B"/>
    <w:rsid w:val="00AB49AA"/>
    <w:rsid w:val="00AB4A1B"/>
    <w:rsid w:val="00AB4D53"/>
    <w:rsid w:val="00AB4EEF"/>
    <w:rsid w:val="00AB5485"/>
    <w:rsid w:val="00AB5569"/>
    <w:rsid w:val="00AB5A9F"/>
    <w:rsid w:val="00AB62F4"/>
    <w:rsid w:val="00AB63BC"/>
    <w:rsid w:val="00AB63DB"/>
    <w:rsid w:val="00AB6479"/>
    <w:rsid w:val="00AB66C3"/>
    <w:rsid w:val="00AB71B1"/>
    <w:rsid w:val="00AB7534"/>
    <w:rsid w:val="00AB758A"/>
    <w:rsid w:val="00AC0229"/>
    <w:rsid w:val="00AC056A"/>
    <w:rsid w:val="00AC07E2"/>
    <w:rsid w:val="00AC0A1B"/>
    <w:rsid w:val="00AC1381"/>
    <w:rsid w:val="00AC229E"/>
    <w:rsid w:val="00AC2985"/>
    <w:rsid w:val="00AC2ACA"/>
    <w:rsid w:val="00AC2BB7"/>
    <w:rsid w:val="00AC2E9C"/>
    <w:rsid w:val="00AC33F6"/>
    <w:rsid w:val="00AC35AF"/>
    <w:rsid w:val="00AC35C9"/>
    <w:rsid w:val="00AC36A4"/>
    <w:rsid w:val="00AC39C2"/>
    <w:rsid w:val="00AC46E1"/>
    <w:rsid w:val="00AC4B96"/>
    <w:rsid w:val="00AC4D32"/>
    <w:rsid w:val="00AC4E64"/>
    <w:rsid w:val="00AC51C4"/>
    <w:rsid w:val="00AC5399"/>
    <w:rsid w:val="00AC5491"/>
    <w:rsid w:val="00AC56B6"/>
    <w:rsid w:val="00AC5700"/>
    <w:rsid w:val="00AC573D"/>
    <w:rsid w:val="00AC638C"/>
    <w:rsid w:val="00AC673A"/>
    <w:rsid w:val="00AC680F"/>
    <w:rsid w:val="00AC68A7"/>
    <w:rsid w:val="00AC71A9"/>
    <w:rsid w:val="00AC77B9"/>
    <w:rsid w:val="00AC7CAC"/>
    <w:rsid w:val="00AC7D29"/>
    <w:rsid w:val="00AC7E98"/>
    <w:rsid w:val="00AD04AE"/>
    <w:rsid w:val="00AD05F0"/>
    <w:rsid w:val="00AD0E35"/>
    <w:rsid w:val="00AD1018"/>
    <w:rsid w:val="00AD109E"/>
    <w:rsid w:val="00AD1100"/>
    <w:rsid w:val="00AD190A"/>
    <w:rsid w:val="00AD1B0B"/>
    <w:rsid w:val="00AD1DD8"/>
    <w:rsid w:val="00AD2000"/>
    <w:rsid w:val="00AD20B2"/>
    <w:rsid w:val="00AD20E2"/>
    <w:rsid w:val="00AD2773"/>
    <w:rsid w:val="00AD29B6"/>
    <w:rsid w:val="00AD2FB7"/>
    <w:rsid w:val="00AD336C"/>
    <w:rsid w:val="00AD37E1"/>
    <w:rsid w:val="00AD436F"/>
    <w:rsid w:val="00AD45D1"/>
    <w:rsid w:val="00AD4EFB"/>
    <w:rsid w:val="00AD500F"/>
    <w:rsid w:val="00AD505B"/>
    <w:rsid w:val="00AD565B"/>
    <w:rsid w:val="00AD5740"/>
    <w:rsid w:val="00AD57FF"/>
    <w:rsid w:val="00AD5B7B"/>
    <w:rsid w:val="00AD5EEC"/>
    <w:rsid w:val="00AD681A"/>
    <w:rsid w:val="00AD6863"/>
    <w:rsid w:val="00AD6DF8"/>
    <w:rsid w:val="00AD6ECE"/>
    <w:rsid w:val="00AD6F53"/>
    <w:rsid w:val="00AD73BB"/>
    <w:rsid w:val="00AD73EA"/>
    <w:rsid w:val="00AD74E4"/>
    <w:rsid w:val="00AD7789"/>
    <w:rsid w:val="00AD78D4"/>
    <w:rsid w:val="00AD7C05"/>
    <w:rsid w:val="00AD7EB6"/>
    <w:rsid w:val="00AD7FE8"/>
    <w:rsid w:val="00AE0413"/>
    <w:rsid w:val="00AE0B82"/>
    <w:rsid w:val="00AE0BFA"/>
    <w:rsid w:val="00AE0DCF"/>
    <w:rsid w:val="00AE0F15"/>
    <w:rsid w:val="00AE13FA"/>
    <w:rsid w:val="00AE14BB"/>
    <w:rsid w:val="00AE1DD7"/>
    <w:rsid w:val="00AE28D8"/>
    <w:rsid w:val="00AE2D20"/>
    <w:rsid w:val="00AE2E35"/>
    <w:rsid w:val="00AE2F23"/>
    <w:rsid w:val="00AE342D"/>
    <w:rsid w:val="00AE356F"/>
    <w:rsid w:val="00AE3696"/>
    <w:rsid w:val="00AE3908"/>
    <w:rsid w:val="00AE391E"/>
    <w:rsid w:val="00AE3999"/>
    <w:rsid w:val="00AE39E1"/>
    <w:rsid w:val="00AE4002"/>
    <w:rsid w:val="00AE424E"/>
    <w:rsid w:val="00AE427A"/>
    <w:rsid w:val="00AE4283"/>
    <w:rsid w:val="00AE4B96"/>
    <w:rsid w:val="00AE4BF3"/>
    <w:rsid w:val="00AE4D17"/>
    <w:rsid w:val="00AE52C3"/>
    <w:rsid w:val="00AE53BB"/>
    <w:rsid w:val="00AE5925"/>
    <w:rsid w:val="00AE653E"/>
    <w:rsid w:val="00AE6731"/>
    <w:rsid w:val="00AE6D4B"/>
    <w:rsid w:val="00AE75D3"/>
    <w:rsid w:val="00AE75F9"/>
    <w:rsid w:val="00AE7666"/>
    <w:rsid w:val="00AE7B90"/>
    <w:rsid w:val="00AE7C98"/>
    <w:rsid w:val="00AE7E21"/>
    <w:rsid w:val="00AE7F5C"/>
    <w:rsid w:val="00AF01F7"/>
    <w:rsid w:val="00AF06E4"/>
    <w:rsid w:val="00AF0868"/>
    <w:rsid w:val="00AF0AD2"/>
    <w:rsid w:val="00AF0B21"/>
    <w:rsid w:val="00AF1C82"/>
    <w:rsid w:val="00AF2311"/>
    <w:rsid w:val="00AF2F58"/>
    <w:rsid w:val="00AF3468"/>
    <w:rsid w:val="00AF3AEF"/>
    <w:rsid w:val="00AF3BD5"/>
    <w:rsid w:val="00AF3C81"/>
    <w:rsid w:val="00AF3CC6"/>
    <w:rsid w:val="00AF3F3E"/>
    <w:rsid w:val="00AF4972"/>
    <w:rsid w:val="00AF4DA5"/>
    <w:rsid w:val="00AF525C"/>
    <w:rsid w:val="00AF5711"/>
    <w:rsid w:val="00AF5833"/>
    <w:rsid w:val="00AF596A"/>
    <w:rsid w:val="00AF59B1"/>
    <w:rsid w:val="00AF5C54"/>
    <w:rsid w:val="00AF5C5B"/>
    <w:rsid w:val="00AF5D43"/>
    <w:rsid w:val="00AF60CF"/>
    <w:rsid w:val="00AF658C"/>
    <w:rsid w:val="00AF67B0"/>
    <w:rsid w:val="00AF6888"/>
    <w:rsid w:val="00AF6A67"/>
    <w:rsid w:val="00AF6C1F"/>
    <w:rsid w:val="00AF6CA5"/>
    <w:rsid w:val="00AF6D0C"/>
    <w:rsid w:val="00AF6E9D"/>
    <w:rsid w:val="00AF717F"/>
    <w:rsid w:val="00AF7301"/>
    <w:rsid w:val="00AF75DA"/>
    <w:rsid w:val="00AF7AF5"/>
    <w:rsid w:val="00AF7D33"/>
    <w:rsid w:val="00AF7F37"/>
    <w:rsid w:val="00B008AC"/>
    <w:rsid w:val="00B0092E"/>
    <w:rsid w:val="00B00CA9"/>
    <w:rsid w:val="00B0125A"/>
    <w:rsid w:val="00B013A5"/>
    <w:rsid w:val="00B017EC"/>
    <w:rsid w:val="00B018CA"/>
    <w:rsid w:val="00B019F2"/>
    <w:rsid w:val="00B01CE9"/>
    <w:rsid w:val="00B021C8"/>
    <w:rsid w:val="00B027ED"/>
    <w:rsid w:val="00B02A25"/>
    <w:rsid w:val="00B02DC5"/>
    <w:rsid w:val="00B02E68"/>
    <w:rsid w:val="00B02EAF"/>
    <w:rsid w:val="00B02F6A"/>
    <w:rsid w:val="00B032A5"/>
    <w:rsid w:val="00B039F8"/>
    <w:rsid w:val="00B03BAF"/>
    <w:rsid w:val="00B03E96"/>
    <w:rsid w:val="00B04368"/>
    <w:rsid w:val="00B0446F"/>
    <w:rsid w:val="00B047A4"/>
    <w:rsid w:val="00B04BA4"/>
    <w:rsid w:val="00B04E55"/>
    <w:rsid w:val="00B054E2"/>
    <w:rsid w:val="00B0590E"/>
    <w:rsid w:val="00B05DBF"/>
    <w:rsid w:val="00B05FAB"/>
    <w:rsid w:val="00B066BD"/>
    <w:rsid w:val="00B06740"/>
    <w:rsid w:val="00B06ABF"/>
    <w:rsid w:val="00B07069"/>
    <w:rsid w:val="00B070F1"/>
    <w:rsid w:val="00B071CB"/>
    <w:rsid w:val="00B072E7"/>
    <w:rsid w:val="00B074F9"/>
    <w:rsid w:val="00B078E6"/>
    <w:rsid w:val="00B100BE"/>
    <w:rsid w:val="00B1023A"/>
    <w:rsid w:val="00B10311"/>
    <w:rsid w:val="00B10340"/>
    <w:rsid w:val="00B10570"/>
    <w:rsid w:val="00B10AAB"/>
    <w:rsid w:val="00B10AD2"/>
    <w:rsid w:val="00B10B33"/>
    <w:rsid w:val="00B10E33"/>
    <w:rsid w:val="00B11008"/>
    <w:rsid w:val="00B110CD"/>
    <w:rsid w:val="00B11939"/>
    <w:rsid w:val="00B11D8B"/>
    <w:rsid w:val="00B12898"/>
    <w:rsid w:val="00B12AC4"/>
    <w:rsid w:val="00B130EA"/>
    <w:rsid w:val="00B1324C"/>
    <w:rsid w:val="00B13F30"/>
    <w:rsid w:val="00B1512E"/>
    <w:rsid w:val="00B15377"/>
    <w:rsid w:val="00B15481"/>
    <w:rsid w:val="00B1558E"/>
    <w:rsid w:val="00B155C5"/>
    <w:rsid w:val="00B15810"/>
    <w:rsid w:val="00B15CC5"/>
    <w:rsid w:val="00B15E8B"/>
    <w:rsid w:val="00B15F14"/>
    <w:rsid w:val="00B16557"/>
    <w:rsid w:val="00B16838"/>
    <w:rsid w:val="00B16924"/>
    <w:rsid w:val="00B16A9E"/>
    <w:rsid w:val="00B16AA9"/>
    <w:rsid w:val="00B16D99"/>
    <w:rsid w:val="00B16F91"/>
    <w:rsid w:val="00B17019"/>
    <w:rsid w:val="00B170E9"/>
    <w:rsid w:val="00B17169"/>
    <w:rsid w:val="00B17385"/>
    <w:rsid w:val="00B17899"/>
    <w:rsid w:val="00B20664"/>
    <w:rsid w:val="00B2077B"/>
    <w:rsid w:val="00B20C11"/>
    <w:rsid w:val="00B20DF1"/>
    <w:rsid w:val="00B210A8"/>
    <w:rsid w:val="00B211AB"/>
    <w:rsid w:val="00B2147B"/>
    <w:rsid w:val="00B214D8"/>
    <w:rsid w:val="00B2150D"/>
    <w:rsid w:val="00B216C5"/>
    <w:rsid w:val="00B21CAF"/>
    <w:rsid w:val="00B21D68"/>
    <w:rsid w:val="00B21FC8"/>
    <w:rsid w:val="00B225D8"/>
    <w:rsid w:val="00B22A63"/>
    <w:rsid w:val="00B22DBD"/>
    <w:rsid w:val="00B23291"/>
    <w:rsid w:val="00B23292"/>
    <w:rsid w:val="00B234BD"/>
    <w:rsid w:val="00B235E2"/>
    <w:rsid w:val="00B238C6"/>
    <w:rsid w:val="00B23CD9"/>
    <w:rsid w:val="00B23FB0"/>
    <w:rsid w:val="00B2406C"/>
    <w:rsid w:val="00B24812"/>
    <w:rsid w:val="00B249D0"/>
    <w:rsid w:val="00B24AD9"/>
    <w:rsid w:val="00B25002"/>
    <w:rsid w:val="00B250AF"/>
    <w:rsid w:val="00B251F0"/>
    <w:rsid w:val="00B25508"/>
    <w:rsid w:val="00B255AB"/>
    <w:rsid w:val="00B25C03"/>
    <w:rsid w:val="00B25F41"/>
    <w:rsid w:val="00B260F8"/>
    <w:rsid w:val="00B2695F"/>
    <w:rsid w:val="00B26CE3"/>
    <w:rsid w:val="00B26D2B"/>
    <w:rsid w:val="00B26D34"/>
    <w:rsid w:val="00B26FE2"/>
    <w:rsid w:val="00B2717C"/>
    <w:rsid w:val="00B273A9"/>
    <w:rsid w:val="00B27A3D"/>
    <w:rsid w:val="00B27CED"/>
    <w:rsid w:val="00B30216"/>
    <w:rsid w:val="00B307B2"/>
    <w:rsid w:val="00B30BB2"/>
    <w:rsid w:val="00B3149B"/>
    <w:rsid w:val="00B31D29"/>
    <w:rsid w:val="00B31D5F"/>
    <w:rsid w:val="00B31DED"/>
    <w:rsid w:val="00B31F56"/>
    <w:rsid w:val="00B3206C"/>
    <w:rsid w:val="00B32120"/>
    <w:rsid w:val="00B3248E"/>
    <w:rsid w:val="00B324EC"/>
    <w:rsid w:val="00B32967"/>
    <w:rsid w:val="00B32C4A"/>
    <w:rsid w:val="00B32C69"/>
    <w:rsid w:val="00B32CDA"/>
    <w:rsid w:val="00B32E96"/>
    <w:rsid w:val="00B33705"/>
    <w:rsid w:val="00B33A27"/>
    <w:rsid w:val="00B33ACC"/>
    <w:rsid w:val="00B34100"/>
    <w:rsid w:val="00B34308"/>
    <w:rsid w:val="00B3450E"/>
    <w:rsid w:val="00B3463A"/>
    <w:rsid w:val="00B349E4"/>
    <w:rsid w:val="00B34D8B"/>
    <w:rsid w:val="00B34E6E"/>
    <w:rsid w:val="00B35218"/>
    <w:rsid w:val="00B35835"/>
    <w:rsid w:val="00B359A0"/>
    <w:rsid w:val="00B3607B"/>
    <w:rsid w:val="00B362AF"/>
    <w:rsid w:val="00B36426"/>
    <w:rsid w:val="00B3652C"/>
    <w:rsid w:val="00B3673D"/>
    <w:rsid w:val="00B36BDB"/>
    <w:rsid w:val="00B36D04"/>
    <w:rsid w:val="00B3757A"/>
    <w:rsid w:val="00B37652"/>
    <w:rsid w:val="00B378E8"/>
    <w:rsid w:val="00B37EDE"/>
    <w:rsid w:val="00B40037"/>
    <w:rsid w:val="00B4011F"/>
    <w:rsid w:val="00B4026F"/>
    <w:rsid w:val="00B409E8"/>
    <w:rsid w:val="00B40B0D"/>
    <w:rsid w:val="00B41019"/>
    <w:rsid w:val="00B41034"/>
    <w:rsid w:val="00B41A81"/>
    <w:rsid w:val="00B41EBD"/>
    <w:rsid w:val="00B41F7E"/>
    <w:rsid w:val="00B42359"/>
    <w:rsid w:val="00B4236A"/>
    <w:rsid w:val="00B4255B"/>
    <w:rsid w:val="00B42663"/>
    <w:rsid w:val="00B426B6"/>
    <w:rsid w:val="00B42757"/>
    <w:rsid w:val="00B42C5A"/>
    <w:rsid w:val="00B435B7"/>
    <w:rsid w:val="00B43678"/>
    <w:rsid w:val="00B436AE"/>
    <w:rsid w:val="00B4390E"/>
    <w:rsid w:val="00B43930"/>
    <w:rsid w:val="00B439F7"/>
    <w:rsid w:val="00B44595"/>
    <w:rsid w:val="00B448A0"/>
    <w:rsid w:val="00B448EC"/>
    <w:rsid w:val="00B44D64"/>
    <w:rsid w:val="00B45567"/>
    <w:rsid w:val="00B455A4"/>
    <w:rsid w:val="00B45C6D"/>
    <w:rsid w:val="00B45FC1"/>
    <w:rsid w:val="00B462C6"/>
    <w:rsid w:val="00B46390"/>
    <w:rsid w:val="00B46433"/>
    <w:rsid w:val="00B465E7"/>
    <w:rsid w:val="00B466A4"/>
    <w:rsid w:val="00B46811"/>
    <w:rsid w:val="00B46846"/>
    <w:rsid w:val="00B46859"/>
    <w:rsid w:val="00B46D59"/>
    <w:rsid w:val="00B46FBE"/>
    <w:rsid w:val="00B46FD9"/>
    <w:rsid w:val="00B47667"/>
    <w:rsid w:val="00B47B6A"/>
    <w:rsid w:val="00B47C3D"/>
    <w:rsid w:val="00B47DA7"/>
    <w:rsid w:val="00B47E7F"/>
    <w:rsid w:val="00B47E94"/>
    <w:rsid w:val="00B504B9"/>
    <w:rsid w:val="00B5078E"/>
    <w:rsid w:val="00B50EBB"/>
    <w:rsid w:val="00B512CA"/>
    <w:rsid w:val="00B51303"/>
    <w:rsid w:val="00B51403"/>
    <w:rsid w:val="00B51519"/>
    <w:rsid w:val="00B515B9"/>
    <w:rsid w:val="00B516D3"/>
    <w:rsid w:val="00B5187B"/>
    <w:rsid w:val="00B52337"/>
    <w:rsid w:val="00B524FD"/>
    <w:rsid w:val="00B526C3"/>
    <w:rsid w:val="00B530A8"/>
    <w:rsid w:val="00B532B2"/>
    <w:rsid w:val="00B53512"/>
    <w:rsid w:val="00B53631"/>
    <w:rsid w:val="00B53813"/>
    <w:rsid w:val="00B53A04"/>
    <w:rsid w:val="00B53AF9"/>
    <w:rsid w:val="00B53E79"/>
    <w:rsid w:val="00B53F0B"/>
    <w:rsid w:val="00B53FA4"/>
    <w:rsid w:val="00B546B5"/>
    <w:rsid w:val="00B54AFB"/>
    <w:rsid w:val="00B54C97"/>
    <w:rsid w:val="00B54E35"/>
    <w:rsid w:val="00B55245"/>
    <w:rsid w:val="00B554BA"/>
    <w:rsid w:val="00B55A00"/>
    <w:rsid w:val="00B56584"/>
    <w:rsid w:val="00B567FE"/>
    <w:rsid w:val="00B56CD4"/>
    <w:rsid w:val="00B56D3D"/>
    <w:rsid w:val="00B56D7F"/>
    <w:rsid w:val="00B57409"/>
    <w:rsid w:val="00B576B6"/>
    <w:rsid w:val="00B57BA8"/>
    <w:rsid w:val="00B57C45"/>
    <w:rsid w:val="00B57D10"/>
    <w:rsid w:val="00B57F11"/>
    <w:rsid w:val="00B60418"/>
    <w:rsid w:val="00B60628"/>
    <w:rsid w:val="00B6066E"/>
    <w:rsid w:val="00B60A7A"/>
    <w:rsid w:val="00B60B20"/>
    <w:rsid w:val="00B614FF"/>
    <w:rsid w:val="00B62111"/>
    <w:rsid w:val="00B621ED"/>
    <w:rsid w:val="00B62236"/>
    <w:rsid w:val="00B6237B"/>
    <w:rsid w:val="00B626F3"/>
    <w:rsid w:val="00B628A0"/>
    <w:rsid w:val="00B62BC2"/>
    <w:rsid w:val="00B62C50"/>
    <w:rsid w:val="00B62DF9"/>
    <w:rsid w:val="00B632E9"/>
    <w:rsid w:val="00B6356C"/>
    <w:rsid w:val="00B637CF"/>
    <w:rsid w:val="00B63915"/>
    <w:rsid w:val="00B63AB2"/>
    <w:rsid w:val="00B63BA0"/>
    <w:rsid w:val="00B63E65"/>
    <w:rsid w:val="00B63FB4"/>
    <w:rsid w:val="00B646F0"/>
    <w:rsid w:val="00B651B4"/>
    <w:rsid w:val="00B65828"/>
    <w:rsid w:val="00B65833"/>
    <w:rsid w:val="00B6585E"/>
    <w:rsid w:val="00B6649C"/>
    <w:rsid w:val="00B66550"/>
    <w:rsid w:val="00B669FC"/>
    <w:rsid w:val="00B673C0"/>
    <w:rsid w:val="00B679D2"/>
    <w:rsid w:val="00B70164"/>
    <w:rsid w:val="00B704A5"/>
    <w:rsid w:val="00B70DB5"/>
    <w:rsid w:val="00B70FB3"/>
    <w:rsid w:val="00B712B9"/>
    <w:rsid w:val="00B718CC"/>
    <w:rsid w:val="00B71ABE"/>
    <w:rsid w:val="00B735C8"/>
    <w:rsid w:val="00B73A3D"/>
    <w:rsid w:val="00B73A55"/>
    <w:rsid w:val="00B73EFD"/>
    <w:rsid w:val="00B74169"/>
    <w:rsid w:val="00B7431C"/>
    <w:rsid w:val="00B744C5"/>
    <w:rsid w:val="00B74772"/>
    <w:rsid w:val="00B7496C"/>
    <w:rsid w:val="00B749AB"/>
    <w:rsid w:val="00B74F01"/>
    <w:rsid w:val="00B74F10"/>
    <w:rsid w:val="00B74FC4"/>
    <w:rsid w:val="00B7504E"/>
    <w:rsid w:val="00B75161"/>
    <w:rsid w:val="00B7563F"/>
    <w:rsid w:val="00B756E4"/>
    <w:rsid w:val="00B757AA"/>
    <w:rsid w:val="00B75AAE"/>
    <w:rsid w:val="00B763F0"/>
    <w:rsid w:val="00B76712"/>
    <w:rsid w:val="00B7686B"/>
    <w:rsid w:val="00B76A33"/>
    <w:rsid w:val="00B76F4E"/>
    <w:rsid w:val="00B77315"/>
    <w:rsid w:val="00B775C7"/>
    <w:rsid w:val="00B77A36"/>
    <w:rsid w:val="00B80BD6"/>
    <w:rsid w:val="00B80C3B"/>
    <w:rsid w:val="00B80D92"/>
    <w:rsid w:val="00B80F3E"/>
    <w:rsid w:val="00B81060"/>
    <w:rsid w:val="00B810B8"/>
    <w:rsid w:val="00B81E47"/>
    <w:rsid w:val="00B8222B"/>
    <w:rsid w:val="00B82264"/>
    <w:rsid w:val="00B829D9"/>
    <w:rsid w:val="00B82C93"/>
    <w:rsid w:val="00B82D53"/>
    <w:rsid w:val="00B82E48"/>
    <w:rsid w:val="00B83136"/>
    <w:rsid w:val="00B832D8"/>
    <w:rsid w:val="00B83ECB"/>
    <w:rsid w:val="00B83F4B"/>
    <w:rsid w:val="00B8404E"/>
    <w:rsid w:val="00B849BD"/>
    <w:rsid w:val="00B84E07"/>
    <w:rsid w:val="00B8534A"/>
    <w:rsid w:val="00B8574E"/>
    <w:rsid w:val="00B85FE2"/>
    <w:rsid w:val="00B863D2"/>
    <w:rsid w:val="00B86573"/>
    <w:rsid w:val="00B86732"/>
    <w:rsid w:val="00B86B5E"/>
    <w:rsid w:val="00B86C85"/>
    <w:rsid w:val="00B87271"/>
    <w:rsid w:val="00B875A4"/>
    <w:rsid w:val="00B877F4"/>
    <w:rsid w:val="00B8797F"/>
    <w:rsid w:val="00B902AB"/>
    <w:rsid w:val="00B90E19"/>
    <w:rsid w:val="00B90F08"/>
    <w:rsid w:val="00B91025"/>
    <w:rsid w:val="00B91390"/>
    <w:rsid w:val="00B9203A"/>
    <w:rsid w:val="00B9207A"/>
    <w:rsid w:val="00B920CA"/>
    <w:rsid w:val="00B92123"/>
    <w:rsid w:val="00B926AD"/>
    <w:rsid w:val="00B929EC"/>
    <w:rsid w:val="00B92C64"/>
    <w:rsid w:val="00B92DCB"/>
    <w:rsid w:val="00B939BA"/>
    <w:rsid w:val="00B93D00"/>
    <w:rsid w:val="00B93DA8"/>
    <w:rsid w:val="00B9405C"/>
    <w:rsid w:val="00B940DF"/>
    <w:rsid w:val="00B940E7"/>
    <w:rsid w:val="00B9429C"/>
    <w:rsid w:val="00B9454B"/>
    <w:rsid w:val="00B9523A"/>
    <w:rsid w:val="00B961BC"/>
    <w:rsid w:val="00B9633D"/>
    <w:rsid w:val="00B96353"/>
    <w:rsid w:val="00B96D48"/>
    <w:rsid w:val="00B96EAE"/>
    <w:rsid w:val="00B97465"/>
    <w:rsid w:val="00B9778B"/>
    <w:rsid w:val="00B9787D"/>
    <w:rsid w:val="00B97CD9"/>
    <w:rsid w:val="00BA004D"/>
    <w:rsid w:val="00BA058B"/>
    <w:rsid w:val="00BA0C4C"/>
    <w:rsid w:val="00BA0DA6"/>
    <w:rsid w:val="00BA1094"/>
    <w:rsid w:val="00BA1103"/>
    <w:rsid w:val="00BA12A5"/>
    <w:rsid w:val="00BA138D"/>
    <w:rsid w:val="00BA18B0"/>
    <w:rsid w:val="00BA1965"/>
    <w:rsid w:val="00BA1976"/>
    <w:rsid w:val="00BA1BDA"/>
    <w:rsid w:val="00BA1C9F"/>
    <w:rsid w:val="00BA1D94"/>
    <w:rsid w:val="00BA22CB"/>
    <w:rsid w:val="00BA24AC"/>
    <w:rsid w:val="00BA2532"/>
    <w:rsid w:val="00BA2932"/>
    <w:rsid w:val="00BA2D9D"/>
    <w:rsid w:val="00BA3404"/>
    <w:rsid w:val="00BA39F7"/>
    <w:rsid w:val="00BA4029"/>
    <w:rsid w:val="00BA43F7"/>
    <w:rsid w:val="00BA4420"/>
    <w:rsid w:val="00BA459C"/>
    <w:rsid w:val="00BA4809"/>
    <w:rsid w:val="00BA48D4"/>
    <w:rsid w:val="00BA4E72"/>
    <w:rsid w:val="00BA5629"/>
    <w:rsid w:val="00BA57B2"/>
    <w:rsid w:val="00BA57B7"/>
    <w:rsid w:val="00BA5862"/>
    <w:rsid w:val="00BA5A5C"/>
    <w:rsid w:val="00BA5D78"/>
    <w:rsid w:val="00BA6385"/>
    <w:rsid w:val="00BA67F1"/>
    <w:rsid w:val="00BA68E1"/>
    <w:rsid w:val="00BA6E60"/>
    <w:rsid w:val="00BA6FB5"/>
    <w:rsid w:val="00BA76DF"/>
    <w:rsid w:val="00BA7842"/>
    <w:rsid w:val="00BA7CBF"/>
    <w:rsid w:val="00BA7F96"/>
    <w:rsid w:val="00BB01EB"/>
    <w:rsid w:val="00BB061C"/>
    <w:rsid w:val="00BB119E"/>
    <w:rsid w:val="00BB1900"/>
    <w:rsid w:val="00BB1A63"/>
    <w:rsid w:val="00BB1DB4"/>
    <w:rsid w:val="00BB1E50"/>
    <w:rsid w:val="00BB2087"/>
    <w:rsid w:val="00BB22F7"/>
    <w:rsid w:val="00BB2C25"/>
    <w:rsid w:val="00BB2CF5"/>
    <w:rsid w:val="00BB36D8"/>
    <w:rsid w:val="00BB37E6"/>
    <w:rsid w:val="00BB3AC4"/>
    <w:rsid w:val="00BB3D8E"/>
    <w:rsid w:val="00BB4A08"/>
    <w:rsid w:val="00BB51D4"/>
    <w:rsid w:val="00BB5C41"/>
    <w:rsid w:val="00BB61CE"/>
    <w:rsid w:val="00BB67D7"/>
    <w:rsid w:val="00BB6868"/>
    <w:rsid w:val="00BB6948"/>
    <w:rsid w:val="00BB69C2"/>
    <w:rsid w:val="00BB69EA"/>
    <w:rsid w:val="00BB6AE9"/>
    <w:rsid w:val="00BB6C8A"/>
    <w:rsid w:val="00BB7180"/>
    <w:rsid w:val="00BB71E5"/>
    <w:rsid w:val="00BB71FB"/>
    <w:rsid w:val="00BB7727"/>
    <w:rsid w:val="00BB7AEC"/>
    <w:rsid w:val="00BB7EF5"/>
    <w:rsid w:val="00BC03CF"/>
    <w:rsid w:val="00BC0438"/>
    <w:rsid w:val="00BC0463"/>
    <w:rsid w:val="00BC0703"/>
    <w:rsid w:val="00BC0AAF"/>
    <w:rsid w:val="00BC0FCA"/>
    <w:rsid w:val="00BC14BE"/>
    <w:rsid w:val="00BC1B8F"/>
    <w:rsid w:val="00BC1DBF"/>
    <w:rsid w:val="00BC1EE9"/>
    <w:rsid w:val="00BC1FC8"/>
    <w:rsid w:val="00BC2283"/>
    <w:rsid w:val="00BC22F5"/>
    <w:rsid w:val="00BC2BAA"/>
    <w:rsid w:val="00BC2D2D"/>
    <w:rsid w:val="00BC2F1E"/>
    <w:rsid w:val="00BC322F"/>
    <w:rsid w:val="00BC35AC"/>
    <w:rsid w:val="00BC3791"/>
    <w:rsid w:val="00BC3BBE"/>
    <w:rsid w:val="00BC3DB8"/>
    <w:rsid w:val="00BC3F17"/>
    <w:rsid w:val="00BC3F78"/>
    <w:rsid w:val="00BC3FFD"/>
    <w:rsid w:val="00BC428D"/>
    <w:rsid w:val="00BC42D6"/>
    <w:rsid w:val="00BC489D"/>
    <w:rsid w:val="00BC48AB"/>
    <w:rsid w:val="00BC48C6"/>
    <w:rsid w:val="00BC4C26"/>
    <w:rsid w:val="00BC4DD4"/>
    <w:rsid w:val="00BC4E91"/>
    <w:rsid w:val="00BC4FCA"/>
    <w:rsid w:val="00BC51BC"/>
    <w:rsid w:val="00BC5219"/>
    <w:rsid w:val="00BC613A"/>
    <w:rsid w:val="00BC6378"/>
    <w:rsid w:val="00BC64BF"/>
    <w:rsid w:val="00BC6A08"/>
    <w:rsid w:val="00BC6AEB"/>
    <w:rsid w:val="00BC768B"/>
    <w:rsid w:val="00BC772A"/>
    <w:rsid w:val="00BC7829"/>
    <w:rsid w:val="00BC788D"/>
    <w:rsid w:val="00BC7BAB"/>
    <w:rsid w:val="00BC7C6D"/>
    <w:rsid w:val="00BD0042"/>
    <w:rsid w:val="00BD023F"/>
    <w:rsid w:val="00BD03BA"/>
    <w:rsid w:val="00BD0487"/>
    <w:rsid w:val="00BD072F"/>
    <w:rsid w:val="00BD088E"/>
    <w:rsid w:val="00BD08A8"/>
    <w:rsid w:val="00BD0B76"/>
    <w:rsid w:val="00BD0BBB"/>
    <w:rsid w:val="00BD0D94"/>
    <w:rsid w:val="00BD0FE9"/>
    <w:rsid w:val="00BD1019"/>
    <w:rsid w:val="00BD1301"/>
    <w:rsid w:val="00BD18A7"/>
    <w:rsid w:val="00BD1907"/>
    <w:rsid w:val="00BD1CC3"/>
    <w:rsid w:val="00BD209D"/>
    <w:rsid w:val="00BD2180"/>
    <w:rsid w:val="00BD2400"/>
    <w:rsid w:val="00BD2493"/>
    <w:rsid w:val="00BD2972"/>
    <w:rsid w:val="00BD2980"/>
    <w:rsid w:val="00BD2C18"/>
    <w:rsid w:val="00BD2E0F"/>
    <w:rsid w:val="00BD318F"/>
    <w:rsid w:val="00BD383D"/>
    <w:rsid w:val="00BD4556"/>
    <w:rsid w:val="00BD4710"/>
    <w:rsid w:val="00BD4844"/>
    <w:rsid w:val="00BD490C"/>
    <w:rsid w:val="00BD50C8"/>
    <w:rsid w:val="00BD5627"/>
    <w:rsid w:val="00BD5702"/>
    <w:rsid w:val="00BD579A"/>
    <w:rsid w:val="00BD5954"/>
    <w:rsid w:val="00BD5A9B"/>
    <w:rsid w:val="00BD5FF9"/>
    <w:rsid w:val="00BD6143"/>
    <w:rsid w:val="00BD61C4"/>
    <w:rsid w:val="00BD621B"/>
    <w:rsid w:val="00BD6517"/>
    <w:rsid w:val="00BD677D"/>
    <w:rsid w:val="00BD74D3"/>
    <w:rsid w:val="00BD7657"/>
    <w:rsid w:val="00BD766F"/>
    <w:rsid w:val="00BD7731"/>
    <w:rsid w:val="00BD7CA0"/>
    <w:rsid w:val="00BD7E9E"/>
    <w:rsid w:val="00BE0272"/>
    <w:rsid w:val="00BE0A0D"/>
    <w:rsid w:val="00BE0C8F"/>
    <w:rsid w:val="00BE0D14"/>
    <w:rsid w:val="00BE1215"/>
    <w:rsid w:val="00BE1487"/>
    <w:rsid w:val="00BE1855"/>
    <w:rsid w:val="00BE18AD"/>
    <w:rsid w:val="00BE18E0"/>
    <w:rsid w:val="00BE1AE5"/>
    <w:rsid w:val="00BE1DB3"/>
    <w:rsid w:val="00BE1EA8"/>
    <w:rsid w:val="00BE1EAE"/>
    <w:rsid w:val="00BE29EB"/>
    <w:rsid w:val="00BE31B4"/>
    <w:rsid w:val="00BE33BD"/>
    <w:rsid w:val="00BE3508"/>
    <w:rsid w:val="00BE35BD"/>
    <w:rsid w:val="00BE3677"/>
    <w:rsid w:val="00BE3EA4"/>
    <w:rsid w:val="00BE41BD"/>
    <w:rsid w:val="00BE46BD"/>
    <w:rsid w:val="00BE4A44"/>
    <w:rsid w:val="00BE4D42"/>
    <w:rsid w:val="00BE4E1D"/>
    <w:rsid w:val="00BE5542"/>
    <w:rsid w:val="00BE57CE"/>
    <w:rsid w:val="00BE5BB8"/>
    <w:rsid w:val="00BE5C3F"/>
    <w:rsid w:val="00BE5D61"/>
    <w:rsid w:val="00BE5FB1"/>
    <w:rsid w:val="00BE6206"/>
    <w:rsid w:val="00BE63A0"/>
    <w:rsid w:val="00BE6579"/>
    <w:rsid w:val="00BE6B7C"/>
    <w:rsid w:val="00BE6C2A"/>
    <w:rsid w:val="00BE6F7E"/>
    <w:rsid w:val="00BE7008"/>
    <w:rsid w:val="00BE7364"/>
    <w:rsid w:val="00BE7423"/>
    <w:rsid w:val="00BE7503"/>
    <w:rsid w:val="00BE7ED9"/>
    <w:rsid w:val="00BF0322"/>
    <w:rsid w:val="00BF08EE"/>
    <w:rsid w:val="00BF0BD8"/>
    <w:rsid w:val="00BF14CF"/>
    <w:rsid w:val="00BF158D"/>
    <w:rsid w:val="00BF1771"/>
    <w:rsid w:val="00BF1986"/>
    <w:rsid w:val="00BF1BBE"/>
    <w:rsid w:val="00BF1CB1"/>
    <w:rsid w:val="00BF1D2B"/>
    <w:rsid w:val="00BF1DE9"/>
    <w:rsid w:val="00BF2002"/>
    <w:rsid w:val="00BF2354"/>
    <w:rsid w:val="00BF2556"/>
    <w:rsid w:val="00BF2A78"/>
    <w:rsid w:val="00BF2C5B"/>
    <w:rsid w:val="00BF2F0E"/>
    <w:rsid w:val="00BF2F5F"/>
    <w:rsid w:val="00BF3E3B"/>
    <w:rsid w:val="00BF3F2E"/>
    <w:rsid w:val="00BF4078"/>
    <w:rsid w:val="00BF479A"/>
    <w:rsid w:val="00BF4CA2"/>
    <w:rsid w:val="00BF4DFB"/>
    <w:rsid w:val="00BF4F01"/>
    <w:rsid w:val="00BF4F81"/>
    <w:rsid w:val="00BF5170"/>
    <w:rsid w:val="00BF5368"/>
    <w:rsid w:val="00BF55FF"/>
    <w:rsid w:val="00BF56CC"/>
    <w:rsid w:val="00BF5739"/>
    <w:rsid w:val="00BF594E"/>
    <w:rsid w:val="00BF59CD"/>
    <w:rsid w:val="00BF62EB"/>
    <w:rsid w:val="00BF63DC"/>
    <w:rsid w:val="00BF68E0"/>
    <w:rsid w:val="00BF6BB4"/>
    <w:rsid w:val="00BF6E99"/>
    <w:rsid w:val="00BF701B"/>
    <w:rsid w:val="00BF7792"/>
    <w:rsid w:val="00BF7A9B"/>
    <w:rsid w:val="00BF7BDB"/>
    <w:rsid w:val="00BF7C13"/>
    <w:rsid w:val="00BF7EF9"/>
    <w:rsid w:val="00BF7FF1"/>
    <w:rsid w:val="00C006C5"/>
    <w:rsid w:val="00C009AF"/>
    <w:rsid w:val="00C00A57"/>
    <w:rsid w:val="00C0144E"/>
    <w:rsid w:val="00C01F5F"/>
    <w:rsid w:val="00C02065"/>
    <w:rsid w:val="00C02416"/>
    <w:rsid w:val="00C02585"/>
    <w:rsid w:val="00C028A0"/>
    <w:rsid w:val="00C0317B"/>
    <w:rsid w:val="00C031D2"/>
    <w:rsid w:val="00C0320C"/>
    <w:rsid w:val="00C03372"/>
    <w:rsid w:val="00C034E3"/>
    <w:rsid w:val="00C03A1C"/>
    <w:rsid w:val="00C0472F"/>
    <w:rsid w:val="00C04B8A"/>
    <w:rsid w:val="00C04C64"/>
    <w:rsid w:val="00C04DAA"/>
    <w:rsid w:val="00C05430"/>
    <w:rsid w:val="00C05483"/>
    <w:rsid w:val="00C055E0"/>
    <w:rsid w:val="00C0563C"/>
    <w:rsid w:val="00C0581A"/>
    <w:rsid w:val="00C05CB0"/>
    <w:rsid w:val="00C05E4D"/>
    <w:rsid w:val="00C05FE2"/>
    <w:rsid w:val="00C06160"/>
    <w:rsid w:val="00C062D4"/>
    <w:rsid w:val="00C063EB"/>
    <w:rsid w:val="00C06425"/>
    <w:rsid w:val="00C066EF"/>
    <w:rsid w:val="00C068F8"/>
    <w:rsid w:val="00C06A42"/>
    <w:rsid w:val="00C06B56"/>
    <w:rsid w:val="00C06C17"/>
    <w:rsid w:val="00C06CA1"/>
    <w:rsid w:val="00C06CAB"/>
    <w:rsid w:val="00C06F54"/>
    <w:rsid w:val="00C0701B"/>
    <w:rsid w:val="00C073F4"/>
    <w:rsid w:val="00C078D5"/>
    <w:rsid w:val="00C07B22"/>
    <w:rsid w:val="00C07EF2"/>
    <w:rsid w:val="00C102A1"/>
    <w:rsid w:val="00C10516"/>
    <w:rsid w:val="00C10567"/>
    <w:rsid w:val="00C1076D"/>
    <w:rsid w:val="00C1079E"/>
    <w:rsid w:val="00C108C2"/>
    <w:rsid w:val="00C10C02"/>
    <w:rsid w:val="00C11084"/>
    <w:rsid w:val="00C11BC4"/>
    <w:rsid w:val="00C11C13"/>
    <w:rsid w:val="00C11D13"/>
    <w:rsid w:val="00C11DC3"/>
    <w:rsid w:val="00C11E93"/>
    <w:rsid w:val="00C11ECD"/>
    <w:rsid w:val="00C121ED"/>
    <w:rsid w:val="00C122F7"/>
    <w:rsid w:val="00C12357"/>
    <w:rsid w:val="00C12901"/>
    <w:rsid w:val="00C12B69"/>
    <w:rsid w:val="00C12C26"/>
    <w:rsid w:val="00C1309A"/>
    <w:rsid w:val="00C133CF"/>
    <w:rsid w:val="00C13402"/>
    <w:rsid w:val="00C1344F"/>
    <w:rsid w:val="00C13563"/>
    <w:rsid w:val="00C1363A"/>
    <w:rsid w:val="00C13E94"/>
    <w:rsid w:val="00C14120"/>
    <w:rsid w:val="00C14306"/>
    <w:rsid w:val="00C14677"/>
    <w:rsid w:val="00C148E6"/>
    <w:rsid w:val="00C14917"/>
    <w:rsid w:val="00C14A6B"/>
    <w:rsid w:val="00C14DA6"/>
    <w:rsid w:val="00C1564D"/>
    <w:rsid w:val="00C15977"/>
    <w:rsid w:val="00C159E5"/>
    <w:rsid w:val="00C15BE5"/>
    <w:rsid w:val="00C15CF5"/>
    <w:rsid w:val="00C15FFB"/>
    <w:rsid w:val="00C162FF"/>
    <w:rsid w:val="00C16311"/>
    <w:rsid w:val="00C163CB"/>
    <w:rsid w:val="00C1644D"/>
    <w:rsid w:val="00C167AF"/>
    <w:rsid w:val="00C16CE6"/>
    <w:rsid w:val="00C16E9B"/>
    <w:rsid w:val="00C17131"/>
    <w:rsid w:val="00C17464"/>
    <w:rsid w:val="00C17DFF"/>
    <w:rsid w:val="00C17F53"/>
    <w:rsid w:val="00C20E78"/>
    <w:rsid w:val="00C20EDE"/>
    <w:rsid w:val="00C20F84"/>
    <w:rsid w:val="00C21274"/>
    <w:rsid w:val="00C213CC"/>
    <w:rsid w:val="00C214A0"/>
    <w:rsid w:val="00C21996"/>
    <w:rsid w:val="00C21DCE"/>
    <w:rsid w:val="00C21E26"/>
    <w:rsid w:val="00C21F99"/>
    <w:rsid w:val="00C2227E"/>
    <w:rsid w:val="00C22643"/>
    <w:rsid w:val="00C226FA"/>
    <w:rsid w:val="00C22817"/>
    <w:rsid w:val="00C22CF9"/>
    <w:rsid w:val="00C22DF9"/>
    <w:rsid w:val="00C2356E"/>
    <w:rsid w:val="00C237B9"/>
    <w:rsid w:val="00C23AB3"/>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B1D"/>
    <w:rsid w:val="00C27C99"/>
    <w:rsid w:val="00C27D3A"/>
    <w:rsid w:val="00C27D5B"/>
    <w:rsid w:val="00C27DF1"/>
    <w:rsid w:val="00C27E47"/>
    <w:rsid w:val="00C302D1"/>
    <w:rsid w:val="00C305BF"/>
    <w:rsid w:val="00C30BAB"/>
    <w:rsid w:val="00C30CFD"/>
    <w:rsid w:val="00C3106A"/>
    <w:rsid w:val="00C31077"/>
    <w:rsid w:val="00C311C6"/>
    <w:rsid w:val="00C31224"/>
    <w:rsid w:val="00C3165F"/>
    <w:rsid w:val="00C31947"/>
    <w:rsid w:val="00C31AED"/>
    <w:rsid w:val="00C31C37"/>
    <w:rsid w:val="00C31C40"/>
    <w:rsid w:val="00C31DE0"/>
    <w:rsid w:val="00C31F96"/>
    <w:rsid w:val="00C32332"/>
    <w:rsid w:val="00C327FB"/>
    <w:rsid w:val="00C32C69"/>
    <w:rsid w:val="00C32D48"/>
    <w:rsid w:val="00C32E74"/>
    <w:rsid w:val="00C33175"/>
    <w:rsid w:val="00C332D7"/>
    <w:rsid w:val="00C33405"/>
    <w:rsid w:val="00C33524"/>
    <w:rsid w:val="00C33557"/>
    <w:rsid w:val="00C336E1"/>
    <w:rsid w:val="00C337DF"/>
    <w:rsid w:val="00C3384D"/>
    <w:rsid w:val="00C33D23"/>
    <w:rsid w:val="00C3462B"/>
    <w:rsid w:val="00C3462F"/>
    <w:rsid w:val="00C34C86"/>
    <w:rsid w:val="00C34FBD"/>
    <w:rsid w:val="00C35309"/>
    <w:rsid w:val="00C35BC6"/>
    <w:rsid w:val="00C35D41"/>
    <w:rsid w:val="00C36121"/>
    <w:rsid w:val="00C36244"/>
    <w:rsid w:val="00C36471"/>
    <w:rsid w:val="00C36567"/>
    <w:rsid w:val="00C36C95"/>
    <w:rsid w:val="00C36FED"/>
    <w:rsid w:val="00C370BC"/>
    <w:rsid w:val="00C3739A"/>
    <w:rsid w:val="00C37806"/>
    <w:rsid w:val="00C37963"/>
    <w:rsid w:val="00C37AB4"/>
    <w:rsid w:val="00C4005E"/>
    <w:rsid w:val="00C40C47"/>
    <w:rsid w:val="00C40CF8"/>
    <w:rsid w:val="00C41204"/>
    <w:rsid w:val="00C41370"/>
    <w:rsid w:val="00C41693"/>
    <w:rsid w:val="00C419B0"/>
    <w:rsid w:val="00C41BDE"/>
    <w:rsid w:val="00C41E8C"/>
    <w:rsid w:val="00C41F5E"/>
    <w:rsid w:val="00C42002"/>
    <w:rsid w:val="00C42360"/>
    <w:rsid w:val="00C423C7"/>
    <w:rsid w:val="00C423DB"/>
    <w:rsid w:val="00C4279E"/>
    <w:rsid w:val="00C42A14"/>
    <w:rsid w:val="00C42A7B"/>
    <w:rsid w:val="00C42E37"/>
    <w:rsid w:val="00C42EEF"/>
    <w:rsid w:val="00C43422"/>
    <w:rsid w:val="00C436BB"/>
    <w:rsid w:val="00C4376C"/>
    <w:rsid w:val="00C43778"/>
    <w:rsid w:val="00C438A8"/>
    <w:rsid w:val="00C43F30"/>
    <w:rsid w:val="00C43F9B"/>
    <w:rsid w:val="00C43FE6"/>
    <w:rsid w:val="00C440C3"/>
    <w:rsid w:val="00C44247"/>
    <w:rsid w:val="00C44555"/>
    <w:rsid w:val="00C446DF"/>
    <w:rsid w:val="00C451C8"/>
    <w:rsid w:val="00C45237"/>
    <w:rsid w:val="00C45312"/>
    <w:rsid w:val="00C453DB"/>
    <w:rsid w:val="00C45964"/>
    <w:rsid w:val="00C45C2E"/>
    <w:rsid w:val="00C45DF5"/>
    <w:rsid w:val="00C46139"/>
    <w:rsid w:val="00C46558"/>
    <w:rsid w:val="00C46C46"/>
    <w:rsid w:val="00C46F21"/>
    <w:rsid w:val="00C47040"/>
    <w:rsid w:val="00C473F0"/>
    <w:rsid w:val="00C47413"/>
    <w:rsid w:val="00C474DC"/>
    <w:rsid w:val="00C4755F"/>
    <w:rsid w:val="00C47672"/>
    <w:rsid w:val="00C47A91"/>
    <w:rsid w:val="00C47DA2"/>
    <w:rsid w:val="00C50366"/>
    <w:rsid w:val="00C50621"/>
    <w:rsid w:val="00C5096E"/>
    <w:rsid w:val="00C50C2A"/>
    <w:rsid w:val="00C50D17"/>
    <w:rsid w:val="00C50D22"/>
    <w:rsid w:val="00C50D63"/>
    <w:rsid w:val="00C51262"/>
    <w:rsid w:val="00C51951"/>
    <w:rsid w:val="00C51D67"/>
    <w:rsid w:val="00C52019"/>
    <w:rsid w:val="00C5205D"/>
    <w:rsid w:val="00C52486"/>
    <w:rsid w:val="00C52725"/>
    <w:rsid w:val="00C52950"/>
    <w:rsid w:val="00C52EC1"/>
    <w:rsid w:val="00C537E2"/>
    <w:rsid w:val="00C542ED"/>
    <w:rsid w:val="00C5438E"/>
    <w:rsid w:val="00C54563"/>
    <w:rsid w:val="00C545FF"/>
    <w:rsid w:val="00C54CAB"/>
    <w:rsid w:val="00C550D6"/>
    <w:rsid w:val="00C5516C"/>
    <w:rsid w:val="00C55368"/>
    <w:rsid w:val="00C556AA"/>
    <w:rsid w:val="00C55998"/>
    <w:rsid w:val="00C55B4B"/>
    <w:rsid w:val="00C55FAD"/>
    <w:rsid w:val="00C560D6"/>
    <w:rsid w:val="00C563AA"/>
    <w:rsid w:val="00C565E6"/>
    <w:rsid w:val="00C567A2"/>
    <w:rsid w:val="00C567B7"/>
    <w:rsid w:val="00C56873"/>
    <w:rsid w:val="00C5690E"/>
    <w:rsid w:val="00C56B58"/>
    <w:rsid w:val="00C56C71"/>
    <w:rsid w:val="00C56F38"/>
    <w:rsid w:val="00C56F42"/>
    <w:rsid w:val="00C57340"/>
    <w:rsid w:val="00C57524"/>
    <w:rsid w:val="00C576DA"/>
    <w:rsid w:val="00C5786F"/>
    <w:rsid w:val="00C57A96"/>
    <w:rsid w:val="00C57D0B"/>
    <w:rsid w:val="00C57F91"/>
    <w:rsid w:val="00C6043A"/>
    <w:rsid w:val="00C60446"/>
    <w:rsid w:val="00C60509"/>
    <w:rsid w:val="00C60563"/>
    <w:rsid w:val="00C60596"/>
    <w:rsid w:val="00C60A0B"/>
    <w:rsid w:val="00C60E00"/>
    <w:rsid w:val="00C617BE"/>
    <w:rsid w:val="00C618E6"/>
    <w:rsid w:val="00C61DCB"/>
    <w:rsid w:val="00C62BC6"/>
    <w:rsid w:val="00C62F59"/>
    <w:rsid w:val="00C63367"/>
    <w:rsid w:val="00C6345F"/>
    <w:rsid w:val="00C63489"/>
    <w:rsid w:val="00C63B43"/>
    <w:rsid w:val="00C644F1"/>
    <w:rsid w:val="00C648BC"/>
    <w:rsid w:val="00C652EE"/>
    <w:rsid w:val="00C65466"/>
    <w:rsid w:val="00C65A3A"/>
    <w:rsid w:val="00C65CF2"/>
    <w:rsid w:val="00C65D62"/>
    <w:rsid w:val="00C65ED9"/>
    <w:rsid w:val="00C6607D"/>
    <w:rsid w:val="00C6619F"/>
    <w:rsid w:val="00C66474"/>
    <w:rsid w:val="00C664E7"/>
    <w:rsid w:val="00C665DB"/>
    <w:rsid w:val="00C668BD"/>
    <w:rsid w:val="00C668D5"/>
    <w:rsid w:val="00C66B33"/>
    <w:rsid w:val="00C66BA4"/>
    <w:rsid w:val="00C67260"/>
    <w:rsid w:val="00C6774D"/>
    <w:rsid w:val="00C67CCA"/>
    <w:rsid w:val="00C70004"/>
    <w:rsid w:val="00C7029E"/>
    <w:rsid w:val="00C70BCF"/>
    <w:rsid w:val="00C70DEA"/>
    <w:rsid w:val="00C711FC"/>
    <w:rsid w:val="00C71912"/>
    <w:rsid w:val="00C71C7C"/>
    <w:rsid w:val="00C71D36"/>
    <w:rsid w:val="00C72020"/>
    <w:rsid w:val="00C72062"/>
    <w:rsid w:val="00C72166"/>
    <w:rsid w:val="00C723F1"/>
    <w:rsid w:val="00C7241D"/>
    <w:rsid w:val="00C726B6"/>
    <w:rsid w:val="00C72820"/>
    <w:rsid w:val="00C72CA8"/>
    <w:rsid w:val="00C7326D"/>
    <w:rsid w:val="00C73D1F"/>
    <w:rsid w:val="00C743F8"/>
    <w:rsid w:val="00C749B3"/>
    <w:rsid w:val="00C74A4A"/>
    <w:rsid w:val="00C75253"/>
    <w:rsid w:val="00C75E03"/>
    <w:rsid w:val="00C75EDF"/>
    <w:rsid w:val="00C76004"/>
    <w:rsid w:val="00C76356"/>
    <w:rsid w:val="00C7637A"/>
    <w:rsid w:val="00C76734"/>
    <w:rsid w:val="00C769E2"/>
    <w:rsid w:val="00C76BC0"/>
    <w:rsid w:val="00C77036"/>
    <w:rsid w:val="00C77503"/>
    <w:rsid w:val="00C7790A"/>
    <w:rsid w:val="00C77BA6"/>
    <w:rsid w:val="00C77BE5"/>
    <w:rsid w:val="00C77E4C"/>
    <w:rsid w:val="00C80072"/>
    <w:rsid w:val="00C801C3"/>
    <w:rsid w:val="00C802B3"/>
    <w:rsid w:val="00C80E20"/>
    <w:rsid w:val="00C81106"/>
    <w:rsid w:val="00C81180"/>
    <w:rsid w:val="00C816F1"/>
    <w:rsid w:val="00C81AC1"/>
    <w:rsid w:val="00C826EE"/>
    <w:rsid w:val="00C82AB5"/>
    <w:rsid w:val="00C82DCA"/>
    <w:rsid w:val="00C82E03"/>
    <w:rsid w:val="00C82F60"/>
    <w:rsid w:val="00C831DF"/>
    <w:rsid w:val="00C83603"/>
    <w:rsid w:val="00C83861"/>
    <w:rsid w:val="00C838BD"/>
    <w:rsid w:val="00C83A0F"/>
    <w:rsid w:val="00C83D3B"/>
    <w:rsid w:val="00C8423D"/>
    <w:rsid w:val="00C8447F"/>
    <w:rsid w:val="00C8496E"/>
    <w:rsid w:val="00C84AC5"/>
    <w:rsid w:val="00C8504B"/>
    <w:rsid w:val="00C85490"/>
    <w:rsid w:val="00C859BA"/>
    <w:rsid w:val="00C85C22"/>
    <w:rsid w:val="00C85C69"/>
    <w:rsid w:val="00C86003"/>
    <w:rsid w:val="00C860FF"/>
    <w:rsid w:val="00C86678"/>
    <w:rsid w:val="00C86BC2"/>
    <w:rsid w:val="00C86BE3"/>
    <w:rsid w:val="00C86ED7"/>
    <w:rsid w:val="00C8747B"/>
    <w:rsid w:val="00C90103"/>
    <w:rsid w:val="00C9022C"/>
    <w:rsid w:val="00C90322"/>
    <w:rsid w:val="00C90B59"/>
    <w:rsid w:val="00C90BE1"/>
    <w:rsid w:val="00C90E80"/>
    <w:rsid w:val="00C91552"/>
    <w:rsid w:val="00C9235E"/>
    <w:rsid w:val="00C923B8"/>
    <w:rsid w:val="00C92481"/>
    <w:rsid w:val="00C92578"/>
    <w:rsid w:val="00C92CC6"/>
    <w:rsid w:val="00C92D75"/>
    <w:rsid w:val="00C932FA"/>
    <w:rsid w:val="00C9389F"/>
    <w:rsid w:val="00C94152"/>
    <w:rsid w:val="00C9451D"/>
    <w:rsid w:val="00C948D6"/>
    <w:rsid w:val="00C949D7"/>
    <w:rsid w:val="00C94BFF"/>
    <w:rsid w:val="00C94DB0"/>
    <w:rsid w:val="00C94EFE"/>
    <w:rsid w:val="00C94F1A"/>
    <w:rsid w:val="00C9568B"/>
    <w:rsid w:val="00C95CC2"/>
    <w:rsid w:val="00C95E0F"/>
    <w:rsid w:val="00C96343"/>
    <w:rsid w:val="00C9638C"/>
    <w:rsid w:val="00C969C6"/>
    <w:rsid w:val="00C96A28"/>
    <w:rsid w:val="00C96C40"/>
    <w:rsid w:val="00C96D03"/>
    <w:rsid w:val="00C96DB7"/>
    <w:rsid w:val="00C97C4B"/>
    <w:rsid w:val="00C97DB0"/>
    <w:rsid w:val="00C97E49"/>
    <w:rsid w:val="00C97F38"/>
    <w:rsid w:val="00C97FB7"/>
    <w:rsid w:val="00CA0538"/>
    <w:rsid w:val="00CA096B"/>
    <w:rsid w:val="00CA0B1B"/>
    <w:rsid w:val="00CA0BF4"/>
    <w:rsid w:val="00CA14D6"/>
    <w:rsid w:val="00CA1858"/>
    <w:rsid w:val="00CA18A1"/>
    <w:rsid w:val="00CA1C43"/>
    <w:rsid w:val="00CA211D"/>
    <w:rsid w:val="00CA22DE"/>
    <w:rsid w:val="00CA240C"/>
    <w:rsid w:val="00CA259B"/>
    <w:rsid w:val="00CA26DE"/>
    <w:rsid w:val="00CA32D8"/>
    <w:rsid w:val="00CA332E"/>
    <w:rsid w:val="00CA345A"/>
    <w:rsid w:val="00CA390C"/>
    <w:rsid w:val="00CA393D"/>
    <w:rsid w:val="00CA3D16"/>
    <w:rsid w:val="00CA3F6B"/>
    <w:rsid w:val="00CA47D3"/>
    <w:rsid w:val="00CA4E24"/>
    <w:rsid w:val="00CA50C9"/>
    <w:rsid w:val="00CA54F2"/>
    <w:rsid w:val="00CA56C1"/>
    <w:rsid w:val="00CA599A"/>
    <w:rsid w:val="00CA5D56"/>
    <w:rsid w:val="00CA60EC"/>
    <w:rsid w:val="00CA64D4"/>
    <w:rsid w:val="00CA66DB"/>
    <w:rsid w:val="00CA6A23"/>
    <w:rsid w:val="00CA6F13"/>
    <w:rsid w:val="00CA7608"/>
    <w:rsid w:val="00CA7B79"/>
    <w:rsid w:val="00CA7CB5"/>
    <w:rsid w:val="00CB0363"/>
    <w:rsid w:val="00CB0665"/>
    <w:rsid w:val="00CB06CB"/>
    <w:rsid w:val="00CB0759"/>
    <w:rsid w:val="00CB08B0"/>
    <w:rsid w:val="00CB0CAD"/>
    <w:rsid w:val="00CB0E0F"/>
    <w:rsid w:val="00CB0E70"/>
    <w:rsid w:val="00CB0EF1"/>
    <w:rsid w:val="00CB1025"/>
    <w:rsid w:val="00CB105F"/>
    <w:rsid w:val="00CB13D7"/>
    <w:rsid w:val="00CB1F62"/>
    <w:rsid w:val="00CB23E4"/>
    <w:rsid w:val="00CB2964"/>
    <w:rsid w:val="00CB2A31"/>
    <w:rsid w:val="00CB2BAB"/>
    <w:rsid w:val="00CB2FC2"/>
    <w:rsid w:val="00CB325B"/>
    <w:rsid w:val="00CB3286"/>
    <w:rsid w:val="00CB3359"/>
    <w:rsid w:val="00CB33BF"/>
    <w:rsid w:val="00CB3676"/>
    <w:rsid w:val="00CB3996"/>
    <w:rsid w:val="00CB3D51"/>
    <w:rsid w:val="00CB3DC2"/>
    <w:rsid w:val="00CB3F2E"/>
    <w:rsid w:val="00CB4468"/>
    <w:rsid w:val="00CB46A9"/>
    <w:rsid w:val="00CB4E07"/>
    <w:rsid w:val="00CB4F35"/>
    <w:rsid w:val="00CB53AF"/>
    <w:rsid w:val="00CB53E6"/>
    <w:rsid w:val="00CB55C4"/>
    <w:rsid w:val="00CB572D"/>
    <w:rsid w:val="00CB5731"/>
    <w:rsid w:val="00CB5803"/>
    <w:rsid w:val="00CB5C5E"/>
    <w:rsid w:val="00CB63DB"/>
    <w:rsid w:val="00CB667E"/>
    <w:rsid w:val="00CB68B3"/>
    <w:rsid w:val="00CB6AE7"/>
    <w:rsid w:val="00CB71DF"/>
    <w:rsid w:val="00CB78CD"/>
    <w:rsid w:val="00CC00BB"/>
    <w:rsid w:val="00CC0473"/>
    <w:rsid w:val="00CC0849"/>
    <w:rsid w:val="00CC0BEA"/>
    <w:rsid w:val="00CC0C43"/>
    <w:rsid w:val="00CC0EF3"/>
    <w:rsid w:val="00CC128F"/>
    <w:rsid w:val="00CC148B"/>
    <w:rsid w:val="00CC14A5"/>
    <w:rsid w:val="00CC1642"/>
    <w:rsid w:val="00CC18DC"/>
    <w:rsid w:val="00CC1991"/>
    <w:rsid w:val="00CC1BC5"/>
    <w:rsid w:val="00CC1C4D"/>
    <w:rsid w:val="00CC1C94"/>
    <w:rsid w:val="00CC1D5D"/>
    <w:rsid w:val="00CC1FB5"/>
    <w:rsid w:val="00CC2304"/>
    <w:rsid w:val="00CC2576"/>
    <w:rsid w:val="00CC2800"/>
    <w:rsid w:val="00CC2838"/>
    <w:rsid w:val="00CC2A96"/>
    <w:rsid w:val="00CC33DC"/>
    <w:rsid w:val="00CC3A23"/>
    <w:rsid w:val="00CC3AF9"/>
    <w:rsid w:val="00CC3B76"/>
    <w:rsid w:val="00CC4222"/>
    <w:rsid w:val="00CC48BD"/>
    <w:rsid w:val="00CC48FC"/>
    <w:rsid w:val="00CC4F94"/>
    <w:rsid w:val="00CC540A"/>
    <w:rsid w:val="00CC565C"/>
    <w:rsid w:val="00CC5E07"/>
    <w:rsid w:val="00CC609D"/>
    <w:rsid w:val="00CC60B2"/>
    <w:rsid w:val="00CC61D8"/>
    <w:rsid w:val="00CC62EB"/>
    <w:rsid w:val="00CC6995"/>
    <w:rsid w:val="00CC72E5"/>
    <w:rsid w:val="00CC7559"/>
    <w:rsid w:val="00CC78DB"/>
    <w:rsid w:val="00CC79D0"/>
    <w:rsid w:val="00CC7BC0"/>
    <w:rsid w:val="00CC7F48"/>
    <w:rsid w:val="00CD0238"/>
    <w:rsid w:val="00CD0432"/>
    <w:rsid w:val="00CD0866"/>
    <w:rsid w:val="00CD0A2E"/>
    <w:rsid w:val="00CD1128"/>
    <w:rsid w:val="00CD1408"/>
    <w:rsid w:val="00CD15E0"/>
    <w:rsid w:val="00CD169F"/>
    <w:rsid w:val="00CD177C"/>
    <w:rsid w:val="00CD17F5"/>
    <w:rsid w:val="00CD1879"/>
    <w:rsid w:val="00CD18CC"/>
    <w:rsid w:val="00CD1E15"/>
    <w:rsid w:val="00CD1E2F"/>
    <w:rsid w:val="00CD202B"/>
    <w:rsid w:val="00CD246B"/>
    <w:rsid w:val="00CD2A44"/>
    <w:rsid w:val="00CD2C52"/>
    <w:rsid w:val="00CD2C81"/>
    <w:rsid w:val="00CD3389"/>
    <w:rsid w:val="00CD3BFE"/>
    <w:rsid w:val="00CD3D74"/>
    <w:rsid w:val="00CD3DBF"/>
    <w:rsid w:val="00CD3E93"/>
    <w:rsid w:val="00CD44A5"/>
    <w:rsid w:val="00CD4C92"/>
    <w:rsid w:val="00CD4CCD"/>
    <w:rsid w:val="00CD5365"/>
    <w:rsid w:val="00CD5570"/>
    <w:rsid w:val="00CD5853"/>
    <w:rsid w:val="00CD5998"/>
    <w:rsid w:val="00CD5DAD"/>
    <w:rsid w:val="00CD6233"/>
    <w:rsid w:val="00CD6427"/>
    <w:rsid w:val="00CD648F"/>
    <w:rsid w:val="00CD6BBC"/>
    <w:rsid w:val="00CD6D15"/>
    <w:rsid w:val="00CD6E28"/>
    <w:rsid w:val="00CD6FD8"/>
    <w:rsid w:val="00CD736B"/>
    <w:rsid w:val="00CD797E"/>
    <w:rsid w:val="00CD7D27"/>
    <w:rsid w:val="00CE02C8"/>
    <w:rsid w:val="00CE0404"/>
    <w:rsid w:val="00CE0608"/>
    <w:rsid w:val="00CE09D1"/>
    <w:rsid w:val="00CE0AAB"/>
    <w:rsid w:val="00CE0C04"/>
    <w:rsid w:val="00CE0E5C"/>
    <w:rsid w:val="00CE100F"/>
    <w:rsid w:val="00CE1374"/>
    <w:rsid w:val="00CE1966"/>
    <w:rsid w:val="00CE19D4"/>
    <w:rsid w:val="00CE2117"/>
    <w:rsid w:val="00CE2278"/>
    <w:rsid w:val="00CE2502"/>
    <w:rsid w:val="00CE25A4"/>
    <w:rsid w:val="00CE3250"/>
    <w:rsid w:val="00CE37C4"/>
    <w:rsid w:val="00CE3867"/>
    <w:rsid w:val="00CE3F54"/>
    <w:rsid w:val="00CE4786"/>
    <w:rsid w:val="00CE52B9"/>
    <w:rsid w:val="00CE5401"/>
    <w:rsid w:val="00CE56D4"/>
    <w:rsid w:val="00CE573A"/>
    <w:rsid w:val="00CE5929"/>
    <w:rsid w:val="00CE5C37"/>
    <w:rsid w:val="00CE5D8B"/>
    <w:rsid w:val="00CE5DAE"/>
    <w:rsid w:val="00CE6457"/>
    <w:rsid w:val="00CE6496"/>
    <w:rsid w:val="00CE64E4"/>
    <w:rsid w:val="00CE652E"/>
    <w:rsid w:val="00CE66CF"/>
    <w:rsid w:val="00CE67D6"/>
    <w:rsid w:val="00CE6E1B"/>
    <w:rsid w:val="00CE7092"/>
    <w:rsid w:val="00CE73C2"/>
    <w:rsid w:val="00CE744F"/>
    <w:rsid w:val="00CE74DB"/>
    <w:rsid w:val="00CE752D"/>
    <w:rsid w:val="00CE7807"/>
    <w:rsid w:val="00CE78CA"/>
    <w:rsid w:val="00CE7B50"/>
    <w:rsid w:val="00CF03DC"/>
    <w:rsid w:val="00CF06BA"/>
    <w:rsid w:val="00CF0807"/>
    <w:rsid w:val="00CF0943"/>
    <w:rsid w:val="00CF0E53"/>
    <w:rsid w:val="00CF103C"/>
    <w:rsid w:val="00CF111E"/>
    <w:rsid w:val="00CF1251"/>
    <w:rsid w:val="00CF14DF"/>
    <w:rsid w:val="00CF16EF"/>
    <w:rsid w:val="00CF1F3E"/>
    <w:rsid w:val="00CF1F6B"/>
    <w:rsid w:val="00CF2247"/>
    <w:rsid w:val="00CF2A64"/>
    <w:rsid w:val="00CF2AC7"/>
    <w:rsid w:val="00CF2D79"/>
    <w:rsid w:val="00CF2DC1"/>
    <w:rsid w:val="00CF31C1"/>
    <w:rsid w:val="00CF32DC"/>
    <w:rsid w:val="00CF335C"/>
    <w:rsid w:val="00CF346E"/>
    <w:rsid w:val="00CF38F9"/>
    <w:rsid w:val="00CF3C1A"/>
    <w:rsid w:val="00CF3F06"/>
    <w:rsid w:val="00CF3F36"/>
    <w:rsid w:val="00CF42B8"/>
    <w:rsid w:val="00CF42C3"/>
    <w:rsid w:val="00CF4B04"/>
    <w:rsid w:val="00CF4B56"/>
    <w:rsid w:val="00CF4DFD"/>
    <w:rsid w:val="00CF508A"/>
    <w:rsid w:val="00CF52C7"/>
    <w:rsid w:val="00CF57AA"/>
    <w:rsid w:val="00CF5932"/>
    <w:rsid w:val="00CF5CFD"/>
    <w:rsid w:val="00CF62D9"/>
    <w:rsid w:val="00CF6371"/>
    <w:rsid w:val="00CF6756"/>
    <w:rsid w:val="00CF680C"/>
    <w:rsid w:val="00CF6BC3"/>
    <w:rsid w:val="00CF6E2E"/>
    <w:rsid w:val="00CF71C2"/>
    <w:rsid w:val="00CF744F"/>
    <w:rsid w:val="00CF7655"/>
    <w:rsid w:val="00D002A3"/>
    <w:rsid w:val="00D00D86"/>
    <w:rsid w:val="00D01C1B"/>
    <w:rsid w:val="00D01D45"/>
    <w:rsid w:val="00D01E56"/>
    <w:rsid w:val="00D02840"/>
    <w:rsid w:val="00D02C7F"/>
    <w:rsid w:val="00D02DCC"/>
    <w:rsid w:val="00D02F55"/>
    <w:rsid w:val="00D048C7"/>
    <w:rsid w:val="00D04D5E"/>
    <w:rsid w:val="00D04E20"/>
    <w:rsid w:val="00D04E53"/>
    <w:rsid w:val="00D04E71"/>
    <w:rsid w:val="00D05AAE"/>
    <w:rsid w:val="00D05F07"/>
    <w:rsid w:val="00D06460"/>
    <w:rsid w:val="00D069C9"/>
    <w:rsid w:val="00D06A4C"/>
    <w:rsid w:val="00D06C78"/>
    <w:rsid w:val="00D06F47"/>
    <w:rsid w:val="00D07440"/>
    <w:rsid w:val="00D078CE"/>
    <w:rsid w:val="00D07A72"/>
    <w:rsid w:val="00D07D71"/>
    <w:rsid w:val="00D1043D"/>
    <w:rsid w:val="00D10C26"/>
    <w:rsid w:val="00D10DF7"/>
    <w:rsid w:val="00D112F4"/>
    <w:rsid w:val="00D1155C"/>
    <w:rsid w:val="00D11586"/>
    <w:rsid w:val="00D11594"/>
    <w:rsid w:val="00D11983"/>
    <w:rsid w:val="00D11AFB"/>
    <w:rsid w:val="00D1217E"/>
    <w:rsid w:val="00D12A33"/>
    <w:rsid w:val="00D12F3D"/>
    <w:rsid w:val="00D13044"/>
    <w:rsid w:val="00D13169"/>
    <w:rsid w:val="00D131D2"/>
    <w:rsid w:val="00D132DF"/>
    <w:rsid w:val="00D13842"/>
    <w:rsid w:val="00D13C6E"/>
    <w:rsid w:val="00D13DF4"/>
    <w:rsid w:val="00D140C6"/>
    <w:rsid w:val="00D141BC"/>
    <w:rsid w:val="00D14511"/>
    <w:rsid w:val="00D14538"/>
    <w:rsid w:val="00D14D42"/>
    <w:rsid w:val="00D14D8C"/>
    <w:rsid w:val="00D14DA5"/>
    <w:rsid w:val="00D150B1"/>
    <w:rsid w:val="00D158D5"/>
    <w:rsid w:val="00D1595F"/>
    <w:rsid w:val="00D15BCB"/>
    <w:rsid w:val="00D162D7"/>
    <w:rsid w:val="00D169A5"/>
    <w:rsid w:val="00D1705F"/>
    <w:rsid w:val="00D17742"/>
    <w:rsid w:val="00D17808"/>
    <w:rsid w:val="00D178B7"/>
    <w:rsid w:val="00D17F4E"/>
    <w:rsid w:val="00D208D4"/>
    <w:rsid w:val="00D209F3"/>
    <w:rsid w:val="00D20B8E"/>
    <w:rsid w:val="00D20C73"/>
    <w:rsid w:val="00D20E16"/>
    <w:rsid w:val="00D21D6E"/>
    <w:rsid w:val="00D228EE"/>
    <w:rsid w:val="00D2303E"/>
    <w:rsid w:val="00D2316F"/>
    <w:rsid w:val="00D234E4"/>
    <w:rsid w:val="00D238C0"/>
    <w:rsid w:val="00D23EA1"/>
    <w:rsid w:val="00D24118"/>
    <w:rsid w:val="00D2413E"/>
    <w:rsid w:val="00D24568"/>
    <w:rsid w:val="00D247DF"/>
    <w:rsid w:val="00D248A2"/>
    <w:rsid w:val="00D24B71"/>
    <w:rsid w:val="00D24F67"/>
    <w:rsid w:val="00D26A13"/>
    <w:rsid w:val="00D26C91"/>
    <w:rsid w:val="00D26E66"/>
    <w:rsid w:val="00D27218"/>
    <w:rsid w:val="00D275E5"/>
    <w:rsid w:val="00D275EF"/>
    <w:rsid w:val="00D27755"/>
    <w:rsid w:val="00D27888"/>
    <w:rsid w:val="00D27A7F"/>
    <w:rsid w:val="00D27FA9"/>
    <w:rsid w:val="00D305BC"/>
    <w:rsid w:val="00D3083E"/>
    <w:rsid w:val="00D30AF0"/>
    <w:rsid w:val="00D30CAC"/>
    <w:rsid w:val="00D30ED3"/>
    <w:rsid w:val="00D310E0"/>
    <w:rsid w:val="00D31684"/>
    <w:rsid w:val="00D31CA7"/>
    <w:rsid w:val="00D3205A"/>
    <w:rsid w:val="00D322C8"/>
    <w:rsid w:val="00D32585"/>
    <w:rsid w:val="00D3284F"/>
    <w:rsid w:val="00D328C5"/>
    <w:rsid w:val="00D3293D"/>
    <w:rsid w:val="00D32AD1"/>
    <w:rsid w:val="00D32D9A"/>
    <w:rsid w:val="00D32E91"/>
    <w:rsid w:val="00D33422"/>
    <w:rsid w:val="00D337E3"/>
    <w:rsid w:val="00D33BBE"/>
    <w:rsid w:val="00D33ED1"/>
    <w:rsid w:val="00D342A2"/>
    <w:rsid w:val="00D343F1"/>
    <w:rsid w:val="00D34506"/>
    <w:rsid w:val="00D346A5"/>
    <w:rsid w:val="00D34A46"/>
    <w:rsid w:val="00D34B50"/>
    <w:rsid w:val="00D34CCB"/>
    <w:rsid w:val="00D35326"/>
    <w:rsid w:val="00D3558A"/>
    <w:rsid w:val="00D3576B"/>
    <w:rsid w:val="00D35B63"/>
    <w:rsid w:val="00D35DFF"/>
    <w:rsid w:val="00D35EAA"/>
    <w:rsid w:val="00D35EC4"/>
    <w:rsid w:val="00D36373"/>
    <w:rsid w:val="00D36423"/>
    <w:rsid w:val="00D36699"/>
    <w:rsid w:val="00D36A50"/>
    <w:rsid w:val="00D371B2"/>
    <w:rsid w:val="00D37258"/>
    <w:rsid w:val="00D374E9"/>
    <w:rsid w:val="00D37C80"/>
    <w:rsid w:val="00D400CA"/>
    <w:rsid w:val="00D4028C"/>
    <w:rsid w:val="00D40383"/>
    <w:rsid w:val="00D40789"/>
    <w:rsid w:val="00D40BA9"/>
    <w:rsid w:val="00D40CC0"/>
    <w:rsid w:val="00D4121D"/>
    <w:rsid w:val="00D4124A"/>
    <w:rsid w:val="00D41526"/>
    <w:rsid w:val="00D416AB"/>
    <w:rsid w:val="00D41A3B"/>
    <w:rsid w:val="00D41BAE"/>
    <w:rsid w:val="00D41BF8"/>
    <w:rsid w:val="00D41CDF"/>
    <w:rsid w:val="00D42381"/>
    <w:rsid w:val="00D426BF"/>
    <w:rsid w:val="00D42B7B"/>
    <w:rsid w:val="00D42FCF"/>
    <w:rsid w:val="00D43081"/>
    <w:rsid w:val="00D43132"/>
    <w:rsid w:val="00D4313B"/>
    <w:rsid w:val="00D4345D"/>
    <w:rsid w:val="00D435C2"/>
    <w:rsid w:val="00D435EC"/>
    <w:rsid w:val="00D43BF2"/>
    <w:rsid w:val="00D43DA9"/>
    <w:rsid w:val="00D43EEA"/>
    <w:rsid w:val="00D4426B"/>
    <w:rsid w:val="00D448EC"/>
    <w:rsid w:val="00D44B4E"/>
    <w:rsid w:val="00D44FCC"/>
    <w:rsid w:val="00D453D8"/>
    <w:rsid w:val="00D456A7"/>
    <w:rsid w:val="00D4576A"/>
    <w:rsid w:val="00D45778"/>
    <w:rsid w:val="00D45B67"/>
    <w:rsid w:val="00D45FF8"/>
    <w:rsid w:val="00D46348"/>
    <w:rsid w:val="00D4660B"/>
    <w:rsid w:val="00D472CC"/>
    <w:rsid w:val="00D47820"/>
    <w:rsid w:val="00D47998"/>
    <w:rsid w:val="00D47D34"/>
    <w:rsid w:val="00D502CD"/>
    <w:rsid w:val="00D50458"/>
    <w:rsid w:val="00D50615"/>
    <w:rsid w:val="00D508EC"/>
    <w:rsid w:val="00D50C09"/>
    <w:rsid w:val="00D5103F"/>
    <w:rsid w:val="00D5104B"/>
    <w:rsid w:val="00D511B8"/>
    <w:rsid w:val="00D51551"/>
    <w:rsid w:val="00D515DF"/>
    <w:rsid w:val="00D516DB"/>
    <w:rsid w:val="00D517E5"/>
    <w:rsid w:val="00D51998"/>
    <w:rsid w:val="00D51B85"/>
    <w:rsid w:val="00D51E1A"/>
    <w:rsid w:val="00D51FB2"/>
    <w:rsid w:val="00D5245B"/>
    <w:rsid w:val="00D52D97"/>
    <w:rsid w:val="00D52EA5"/>
    <w:rsid w:val="00D53053"/>
    <w:rsid w:val="00D530DA"/>
    <w:rsid w:val="00D530FC"/>
    <w:rsid w:val="00D53189"/>
    <w:rsid w:val="00D532A0"/>
    <w:rsid w:val="00D536B6"/>
    <w:rsid w:val="00D53779"/>
    <w:rsid w:val="00D54020"/>
    <w:rsid w:val="00D545AB"/>
    <w:rsid w:val="00D5462F"/>
    <w:rsid w:val="00D5470A"/>
    <w:rsid w:val="00D54B2A"/>
    <w:rsid w:val="00D54C95"/>
    <w:rsid w:val="00D54CFA"/>
    <w:rsid w:val="00D5515E"/>
    <w:rsid w:val="00D5548E"/>
    <w:rsid w:val="00D55B27"/>
    <w:rsid w:val="00D55D77"/>
    <w:rsid w:val="00D5637E"/>
    <w:rsid w:val="00D56570"/>
    <w:rsid w:val="00D568BB"/>
    <w:rsid w:val="00D56C39"/>
    <w:rsid w:val="00D56D5D"/>
    <w:rsid w:val="00D56E8D"/>
    <w:rsid w:val="00D57019"/>
    <w:rsid w:val="00D5729A"/>
    <w:rsid w:val="00D572C6"/>
    <w:rsid w:val="00D5790B"/>
    <w:rsid w:val="00D57A78"/>
    <w:rsid w:val="00D57B9B"/>
    <w:rsid w:val="00D57BD1"/>
    <w:rsid w:val="00D57D8C"/>
    <w:rsid w:val="00D60358"/>
    <w:rsid w:val="00D60411"/>
    <w:rsid w:val="00D605ED"/>
    <w:rsid w:val="00D60677"/>
    <w:rsid w:val="00D607AE"/>
    <w:rsid w:val="00D60A0E"/>
    <w:rsid w:val="00D60B62"/>
    <w:rsid w:val="00D61046"/>
    <w:rsid w:val="00D6119E"/>
    <w:rsid w:val="00D615E0"/>
    <w:rsid w:val="00D61676"/>
    <w:rsid w:val="00D6172B"/>
    <w:rsid w:val="00D61CB6"/>
    <w:rsid w:val="00D62406"/>
    <w:rsid w:val="00D62782"/>
    <w:rsid w:val="00D62903"/>
    <w:rsid w:val="00D6299A"/>
    <w:rsid w:val="00D62AAB"/>
    <w:rsid w:val="00D62B0F"/>
    <w:rsid w:val="00D62B93"/>
    <w:rsid w:val="00D62C06"/>
    <w:rsid w:val="00D62C9B"/>
    <w:rsid w:val="00D6325B"/>
    <w:rsid w:val="00D633CC"/>
    <w:rsid w:val="00D634BE"/>
    <w:rsid w:val="00D636CE"/>
    <w:rsid w:val="00D63B87"/>
    <w:rsid w:val="00D63CBC"/>
    <w:rsid w:val="00D6406B"/>
    <w:rsid w:val="00D640ED"/>
    <w:rsid w:val="00D6456E"/>
    <w:rsid w:val="00D648CB"/>
    <w:rsid w:val="00D64BAD"/>
    <w:rsid w:val="00D65555"/>
    <w:rsid w:val="00D65649"/>
    <w:rsid w:val="00D657D6"/>
    <w:rsid w:val="00D667F6"/>
    <w:rsid w:val="00D6680B"/>
    <w:rsid w:val="00D669CB"/>
    <w:rsid w:val="00D66EF2"/>
    <w:rsid w:val="00D67065"/>
    <w:rsid w:val="00D67371"/>
    <w:rsid w:val="00D67A93"/>
    <w:rsid w:val="00D702B8"/>
    <w:rsid w:val="00D7039D"/>
    <w:rsid w:val="00D703E5"/>
    <w:rsid w:val="00D71000"/>
    <w:rsid w:val="00D71005"/>
    <w:rsid w:val="00D71148"/>
    <w:rsid w:val="00D711AA"/>
    <w:rsid w:val="00D712B0"/>
    <w:rsid w:val="00D715F9"/>
    <w:rsid w:val="00D716D3"/>
    <w:rsid w:val="00D71C0E"/>
    <w:rsid w:val="00D72A03"/>
    <w:rsid w:val="00D72C6D"/>
    <w:rsid w:val="00D72F92"/>
    <w:rsid w:val="00D730F3"/>
    <w:rsid w:val="00D736E0"/>
    <w:rsid w:val="00D73776"/>
    <w:rsid w:val="00D73892"/>
    <w:rsid w:val="00D73B16"/>
    <w:rsid w:val="00D73D8A"/>
    <w:rsid w:val="00D7406F"/>
    <w:rsid w:val="00D740E6"/>
    <w:rsid w:val="00D74165"/>
    <w:rsid w:val="00D7432A"/>
    <w:rsid w:val="00D746AC"/>
    <w:rsid w:val="00D75014"/>
    <w:rsid w:val="00D75025"/>
    <w:rsid w:val="00D75107"/>
    <w:rsid w:val="00D755FF"/>
    <w:rsid w:val="00D756BC"/>
    <w:rsid w:val="00D757D9"/>
    <w:rsid w:val="00D770F6"/>
    <w:rsid w:val="00D775D9"/>
    <w:rsid w:val="00D77C5C"/>
    <w:rsid w:val="00D8013C"/>
    <w:rsid w:val="00D802FE"/>
    <w:rsid w:val="00D8053C"/>
    <w:rsid w:val="00D80CBD"/>
    <w:rsid w:val="00D80D1B"/>
    <w:rsid w:val="00D815E5"/>
    <w:rsid w:val="00D818E9"/>
    <w:rsid w:val="00D81F78"/>
    <w:rsid w:val="00D821A6"/>
    <w:rsid w:val="00D828CC"/>
    <w:rsid w:val="00D82A11"/>
    <w:rsid w:val="00D8306B"/>
    <w:rsid w:val="00D83E21"/>
    <w:rsid w:val="00D84487"/>
    <w:rsid w:val="00D844E5"/>
    <w:rsid w:val="00D848F9"/>
    <w:rsid w:val="00D849F2"/>
    <w:rsid w:val="00D84B4A"/>
    <w:rsid w:val="00D84BAA"/>
    <w:rsid w:val="00D84F9A"/>
    <w:rsid w:val="00D86038"/>
    <w:rsid w:val="00D86180"/>
    <w:rsid w:val="00D863FD"/>
    <w:rsid w:val="00D8657E"/>
    <w:rsid w:val="00D865D0"/>
    <w:rsid w:val="00D866BA"/>
    <w:rsid w:val="00D86780"/>
    <w:rsid w:val="00D86B20"/>
    <w:rsid w:val="00D86BE4"/>
    <w:rsid w:val="00D86C64"/>
    <w:rsid w:val="00D86DAB"/>
    <w:rsid w:val="00D8700E"/>
    <w:rsid w:val="00D871C2"/>
    <w:rsid w:val="00D875C2"/>
    <w:rsid w:val="00D87761"/>
    <w:rsid w:val="00D87A74"/>
    <w:rsid w:val="00D87DCC"/>
    <w:rsid w:val="00D87F27"/>
    <w:rsid w:val="00D900AC"/>
    <w:rsid w:val="00D907E9"/>
    <w:rsid w:val="00D908C9"/>
    <w:rsid w:val="00D90DC6"/>
    <w:rsid w:val="00D9130F"/>
    <w:rsid w:val="00D9188B"/>
    <w:rsid w:val="00D91931"/>
    <w:rsid w:val="00D91948"/>
    <w:rsid w:val="00D91F15"/>
    <w:rsid w:val="00D9230B"/>
    <w:rsid w:val="00D92A46"/>
    <w:rsid w:val="00D931E7"/>
    <w:rsid w:val="00D932A5"/>
    <w:rsid w:val="00D935FF"/>
    <w:rsid w:val="00D93850"/>
    <w:rsid w:val="00D94050"/>
    <w:rsid w:val="00D94139"/>
    <w:rsid w:val="00D942F5"/>
    <w:rsid w:val="00D944B6"/>
    <w:rsid w:val="00D9492C"/>
    <w:rsid w:val="00D94D85"/>
    <w:rsid w:val="00D957C4"/>
    <w:rsid w:val="00D958DF"/>
    <w:rsid w:val="00D95902"/>
    <w:rsid w:val="00D95EE7"/>
    <w:rsid w:val="00D95F90"/>
    <w:rsid w:val="00D9600A"/>
    <w:rsid w:val="00D9632B"/>
    <w:rsid w:val="00D9635E"/>
    <w:rsid w:val="00D96474"/>
    <w:rsid w:val="00D96818"/>
    <w:rsid w:val="00D96877"/>
    <w:rsid w:val="00D968A3"/>
    <w:rsid w:val="00D96AA6"/>
    <w:rsid w:val="00D96AAC"/>
    <w:rsid w:val="00D96B2F"/>
    <w:rsid w:val="00D96EDA"/>
    <w:rsid w:val="00D97411"/>
    <w:rsid w:val="00D9746B"/>
    <w:rsid w:val="00D978CE"/>
    <w:rsid w:val="00D97AA2"/>
    <w:rsid w:val="00D97EC4"/>
    <w:rsid w:val="00DA07FC"/>
    <w:rsid w:val="00DA0BBB"/>
    <w:rsid w:val="00DA0E70"/>
    <w:rsid w:val="00DA10FE"/>
    <w:rsid w:val="00DA1795"/>
    <w:rsid w:val="00DA205D"/>
    <w:rsid w:val="00DA20DA"/>
    <w:rsid w:val="00DA27F1"/>
    <w:rsid w:val="00DA27FB"/>
    <w:rsid w:val="00DA2A87"/>
    <w:rsid w:val="00DA2E25"/>
    <w:rsid w:val="00DA331D"/>
    <w:rsid w:val="00DA33B4"/>
    <w:rsid w:val="00DA37AC"/>
    <w:rsid w:val="00DA3878"/>
    <w:rsid w:val="00DA3B1B"/>
    <w:rsid w:val="00DA45A6"/>
    <w:rsid w:val="00DA484A"/>
    <w:rsid w:val="00DA4C61"/>
    <w:rsid w:val="00DA5B53"/>
    <w:rsid w:val="00DA5CB9"/>
    <w:rsid w:val="00DA5D37"/>
    <w:rsid w:val="00DA5F28"/>
    <w:rsid w:val="00DA62C9"/>
    <w:rsid w:val="00DA659B"/>
    <w:rsid w:val="00DA6AAF"/>
    <w:rsid w:val="00DA6BAD"/>
    <w:rsid w:val="00DA6C9B"/>
    <w:rsid w:val="00DA6D13"/>
    <w:rsid w:val="00DA6EB7"/>
    <w:rsid w:val="00DA73BB"/>
    <w:rsid w:val="00DA7492"/>
    <w:rsid w:val="00DA74A5"/>
    <w:rsid w:val="00DA7605"/>
    <w:rsid w:val="00DA7849"/>
    <w:rsid w:val="00DA78A0"/>
    <w:rsid w:val="00DA7A0E"/>
    <w:rsid w:val="00DA7A68"/>
    <w:rsid w:val="00DA7C64"/>
    <w:rsid w:val="00DA7ECB"/>
    <w:rsid w:val="00DB03C6"/>
    <w:rsid w:val="00DB05C3"/>
    <w:rsid w:val="00DB09ED"/>
    <w:rsid w:val="00DB0B8D"/>
    <w:rsid w:val="00DB1281"/>
    <w:rsid w:val="00DB1437"/>
    <w:rsid w:val="00DB153C"/>
    <w:rsid w:val="00DB15CA"/>
    <w:rsid w:val="00DB17CC"/>
    <w:rsid w:val="00DB1913"/>
    <w:rsid w:val="00DB1DA3"/>
    <w:rsid w:val="00DB2106"/>
    <w:rsid w:val="00DB2519"/>
    <w:rsid w:val="00DB28A7"/>
    <w:rsid w:val="00DB28CE"/>
    <w:rsid w:val="00DB2B2F"/>
    <w:rsid w:val="00DB3122"/>
    <w:rsid w:val="00DB33B5"/>
    <w:rsid w:val="00DB3461"/>
    <w:rsid w:val="00DB3491"/>
    <w:rsid w:val="00DB35FB"/>
    <w:rsid w:val="00DB3F7E"/>
    <w:rsid w:val="00DB430E"/>
    <w:rsid w:val="00DB4649"/>
    <w:rsid w:val="00DB48AB"/>
    <w:rsid w:val="00DB4B0B"/>
    <w:rsid w:val="00DB4B18"/>
    <w:rsid w:val="00DB4B2A"/>
    <w:rsid w:val="00DB4B2C"/>
    <w:rsid w:val="00DB4C7F"/>
    <w:rsid w:val="00DB5199"/>
    <w:rsid w:val="00DB56A2"/>
    <w:rsid w:val="00DB580D"/>
    <w:rsid w:val="00DB585B"/>
    <w:rsid w:val="00DB59E1"/>
    <w:rsid w:val="00DB5A88"/>
    <w:rsid w:val="00DB5A8F"/>
    <w:rsid w:val="00DB5DA0"/>
    <w:rsid w:val="00DB6126"/>
    <w:rsid w:val="00DB676C"/>
    <w:rsid w:val="00DB6884"/>
    <w:rsid w:val="00DB6895"/>
    <w:rsid w:val="00DB6A9E"/>
    <w:rsid w:val="00DB6E79"/>
    <w:rsid w:val="00DB6F46"/>
    <w:rsid w:val="00DB7CC1"/>
    <w:rsid w:val="00DC1172"/>
    <w:rsid w:val="00DC1786"/>
    <w:rsid w:val="00DC1B54"/>
    <w:rsid w:val="00DC1BA5"/>
    <w:rsid w:val="00DC1CDF"/>
    <w:rsid w:val="00DC2100"/>
    <w:rsid w:val="00DC237C"/>
    <w:rsid w:val="00DC2527"/>
    <w:rsid w:val="00DC284F"/>
    <w:rsid w:val="00DC339F"/>
    <w:rsid w:val="00DC40FC"/>
    <w:rsid w:val="00DC45D3"/>
    <w:rsid w:val="00DC4963"/>
    <w:rsid w:val="00DC4F1E"/>
    <w:rsid w:val="00DC51A7"/>
    <w:rsid w:val="00DC53B8"/>
    <w:rsid w:val="00DC5488"/>
    <w:rsid w:val="00DC5499"/>
    <w:rsid w:val="00DC58E9"/>
    <w:rsid w:val="00DC5B23"/>
    <w:rsid w:val="00DC60A4"/>
    <w:rsid w:val="00DC62EA"/>
    <w:rsid w:val="00DC6945"/>
    <w:rsid w:val="00DC6C2D"/>
    <w:rsid w:val="00DC6DCD"/>
    <w:rsid w:val="00DC740F"/>
    <w:rsid w:val="00DC74C1"/>
    <w:rsid w:val="00DC760D"/>
    <w:rsid w:val="00DC7678"/>
    <w:rsid w:val="00DC7DC5"/>
    <w:rsid w:val="00DC7E8A"/>
    <w:rsid w:val="00DC7F84"/>
    <w:rsid w:val="00DC7FC2"/>
    <w:rsid w:val="00DD0167"/>
    <w:rsid w:val="00DD056D"/>
    <w:rsid w:val="00DD05B4"/>
    <w:rsid w:val="00DD0ADD"/>
    <w:rsid w:val="00DD122C"/>
    <w:rsid w:val="00DD16EF"/>
    <w:rsid w:val="00DD179D"/>
    <w:rsid w:val="00DD1837"/>
    <w:rsid w:val="00DD1905"/>
    <w:rsid w:val="00DD194E"/>
    <w:rsid w:val="00DD1B0C"/>
    <w:rsid w:val="00DD1C93"/>
    <w:rsid w:val="00DD1E0F"/>
    <w:rsid w:val="00DD217C"/>
    <w:rsid w:val="00DD233B"/>
    <w:rsid w:val="00DD2370"/>
    <w:rsid w:val="00DD2404"/>
    <w:rsid w:val="00DD2F84"/>
    <w:rsid w:val="00DD3536"/>
    <w:rsid w:val="00DD3DB1"/>
    <w:rsid w:val="00DD41ED"/>
    <w:rsid w:val="00DD4356"/>
    <w:rsid w:val="00DD45EC"/>
    <w:rsid w:val="00DD483A"/>
    <w:rsid w:val="00DD4C71"/>
    <w:rsid w:val="00DD4EF9"/>
    <w:rsid w:val="00DD5246"/>
    <w:rsid w:val="00DD58ED"/>
    <w:rsid w:val="00DD58F5"/>
    <w:rsid w:val="00DD59AB"/>
    <w:rsid w:val="00DD5A91"/>
    <w:rsid w:val="00DD5C06"/>
    <w:rsid w:val="00DD5ED6"/>
    <w:rsid w:val="00DD6120"/>
    <w:rsid w:val="00DD6386"/>
    <w:rsid w:val="00DD63D5"/>
    <w:rsid w:val="00DD6AB3"/>
    <w:rsid w:val="00DD6B16"/>
    <w:rsid w:val="00DD7053"/>
    <w:rsid w:val="00DD74AD"/>
    <w:rsid w:val="00DD789A"/>
    <w:rsid w:val="00DD7A63"/>
    <w:rsid w:val="00DE0005"/>
    <w:rsid w:val="00DE0049"/>
    <w:rsid w:val="00DE01CF"/>
    <w:rsid w:val="00DE033B"/>
    <w:rsid w:val="00DE04B2"/>
    <w:rsid w:val="00DE06CD"/>
    <w:rsid w:val="00DE0947"/>
    <w:rsid w:val="00DE0A8C"/>
    <w:rsid w:val="00DE0BA0"/>
    <w:rsid w:val="00DE0ED8"/>
    <w:rsid w:val="00DE0FFF"/>
    <w:rsid w:val="00DE1368"/>
    <w:rsid w:val="00DE169D"/>
    <w:rsid w:val="00DE1D7F"/>
    <w:rsid w:val="00DE1DBE"/>
    <w:rsid w:val="00DE1EA3"/>
    <w:rsid w:val="00DE1F43"/>
    <w:rsid w:val="00DE2227"/>
    <w:rsid w:val="00DE22D9"/>
    <w:rsid w:val="00DE24D5"/>
    <w:rsid w:val="00DE265E"/>
    <w:rsid w:val="00DE2EDA"/>
    <w:rsid w:val="00DE39E4"/>
    <w:rsid w:val="00DE39F0"/>
    <w:rsid w:val="00DE3CEE"/>
    <w:rsid w:val="00DE43FC"/>
    <w:rsid w:val="00DE4758"/>
    <w:rsid w:val="00DE47E7"/>
    <w:rsid w:val="00DE47EA"/>
    <w:rsid w:val="00DE4A05"/>
    <w:rsid w:val="00DE4F03"/>
    <w:rsid w:val="00DE4FA9"/>
    <w:rsid w:val="00DE500E"/>
    <w:rsid w:val="00DE5550"/>
    <w:rsid w:val="00DE5663"/>
    <w:rsid w:val="00DE56D8"/>
    <w:rsid w:val="00DE601A"/>
    <w:rsid w:val="00DE684F"/>
    <w:rsid w:val="00DE6F16"/>
    <w:rsid w:val="00DE718A"/>
    <w:rsid w:val="00DE7DB7"/>
    <w:rsid w:val="00DF0684"/>
    <w:rsid w:val="00DF0872"/>
    <w:rsid w:val="00DF0A22"/>
    <w:rsid w:val="00DF139D"/>
    <w:rsid w:val="00DF168B"/>
    <w:rsid w:val="00DF1D2E"/>
    <w:rsid w:val="00DF2646"/>
    <w:rsid w:val="00DF27EF"/>
    <w:rsid w:val="00DF286D"/>
    <w:rsid w:val="00DF2D9C"/>
    <w:rsid w:val="00DF33A9"/>
    <w:rsid w:val="00DF3655"/>
    <w:rsid w:val="00DF36A7"/>
    <w:rsid w:val="00DF3C0C"/>
    <w:rsid w:val="00DF3FE8"/>
    <w:rsid w:val="00DF43B3"/>
    <w:rsid w:val="00DF4840"/>
    <w:rsid w:val="00DF4E43"/>
    <w:rsid w:val="00DF53FE"/>
    <w:rsid w:val="00DF55B6"/>
    <w:rsid w:val="00DF560F"/>
    <w:rsid w:val="00DF5A99"/>
    <w:rsid w:val="00DF5BC0"/>
    <w:rsid w:val="00DF5BF6"/>
    <w:rsid w:val="00DF5D98"/>
    <w:rsid w:val="00DF63D2"/>
    <w:rsid w:val="00DF647E"/>
    <w:rsid w:val="00DF6758"/>
    <w:rsid w:val="00DF6778"/>
    <w:rsid w:val="00DF6862"/>
    <w:rsid w:val="00DF6CB1"/>
    <w:rsid w:val="00DF6CF2"/>
    <w:rsid w:val="00DF7674"/>
    <w:rsid w:val="00DF7741"/>
    <w:rsid w:val="00DF797F"/>
    <w:rsid w:val="00DF7A37"/>
    <w:rsid w:val="00DF7F92"/>
    <w:rsid w:val="00E00390"/>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38A8"/>
    <w:rsid w:val="00E03A29"/>
    <w:rsid w:val="00E041F3"/>
    <w:rsid w:val="00E04474"/>
    <w:rsid w:val="00E0473F"/>
    <w:rsid w:val="00E048E2"/>
    <w:rsid w:val="00E04A11"/>
    <w:rsid w:val="00E04F60"/>
    <w:rsid w:val="00E053EF"/>
    <w:rsid w:val="00E054D8"/>
    <w:rsid w:val="00E05529"/>
    <w:rsid w:val="00E05777"/>
    <w:rsid w:val="00E05FB4"/>
    <w:rsid w:val="00E0778E"/>
    <w:rsid w:val="00E07F9C"/>
    <w:rsid w:val="00E108B0"/>
    <w:rsid w:val="00E10C35"/>
    <w:rsid w:val="00E11418"/>
    <w:rsid w:val="00E1159D"/>
    <w:rsid w:val="00E118E2"/>
    <w:rsid w:val="00E11A65"/>
    <w:rsid w:val="00E11B3E"/>
    <w:rsid w:val="00E11B5A"/>
    <w:rsid w:val="00E11E54"/>
    <w:rsid w:val="00E1200F"/>
    <w:rsid w:val="00E12080"/>
    <w:rsid w:val="00E12237"/>
    <w:rsid w:val="00E12882"/>
    <w:rsid w:val="00E12B6B"/>
    <w:rsid w:val="00E12EF5"/>
    <w:rsid w:val="00E12FA0"/>
    <w:rsid w:val="00E13658"/>
    <w:rsid w:val="00E139FC"/>
    <w:rsid w:val="00E13A61"/>
    <w:rsid w:val="00E13C63"/>
    <w:rsid w:val="00E13C95"/>
    <w:rsid w:val="00E13EB2"/>
    <w:rsid w:val="00E15136"/>
    <w:rsid w:val="00E156F0"/>
    <w:rsid w:val="00E158A3"/>
    <w:rsid w:val="00E162DD"/>
    <w:rsid w:val="00E16312"/>
    <w:rsid w:val="00E164F0"/>
    <w:rsid w:val="00E1651B"/>
    <w:rsid w:val="00E16697"/>
    <w:rsid w:val="00E169CE"/>
    <w:rsid w:val="00E16C56"/>
    <w:rsid w:val="00E17043"/>
    <w:rsid w:val="00E1722D"/>
    <w:rsid w:val="00E17658"/>
    <w:rsid w:val="00E179E0"/>
    <w:rsid w:val="00E17F1B"/>
    <w:rsid w:val="00E20072"/>
    <w:rsid w:val="00E201F9"/>
    <w:rsid w:val="00E205D5"/>
    <w:rsid w:val="00E2071F"/>
    <w:rsid w:val="00E2078F"/>
    <w:rsid w:val="00E21446"/>
    <w:rsid w:val="00E2150C"/>
    <w:rsid w:val="00E219AA"/>
    <w:rsid w:val="00E21F48"/>
    <w:rsid w:val="00E2231C"/>
    <w:rsid w:val="00E228A4"/>
    <w:rsid w:val="00E23187"/>
    <w:rsid w:val="00E232A2"/>
    <w:rsid w:val="00E233F7"/>
    <w:rsid w:val="00E23909"/>
    <w:rsid w:val="00E239D0"/>
    <w:rsid w:val="00E23A28"/>
    <w:rsid w:val="00E23A4A"/>
    <w:rsid w:val="00E23CAD"/>
    <w:rsid w:val="00E24113"/>
    <w:rsid w:val="00E24384"/>
    <w:rsid w:val="00E2444C"/>
    <w:rsid w:val="00E244D1"/>
    <w:rsid w:val="00E2461B"/>
    <w:rsid w:val="00E25060"/>
    <w:rsid w:val="00E2530E"/>
    <w:rsid w:val="00E25558"/>
    <w:rsid w:val="00E255E9"/>
    <w:rsid w:val="00E25CA6"/>
    <w:rsid w:val="00E25E1C"/>
    <w:rsid w:val="00E265AC"/>
    <w:rsid w:val="00E26602"/>
    <w:rsid w:val="00E26DB7"/>
    <w:rsid w:val="00E26E72"/>
    <w:rsid w:val="00E27127"/>
    <w:rsid w:val="00E2719F"/>
    <w:rsid w:val="00E272CD"/>
    <w:rsid w:val="00E273E3"/>
    <w:rsid w:val="00E27609"/>
    <w:rsid w:val="00E2797E"/>
    <w:rsid w:val="00E2799C"/>
    <w:rsid w:val="00E27D03"/>
    <w:rsid w:val="00E30879"/>
    <w:rsid w:val="00E30F38"/>
    <w:rsid w:val="00E3100F"/>
    <w:rsid w:val="00E3105C"/>
    <w:rsid w:val="00E31063"/>
    <w:rsid w:val="00E312BA"/>
    <w:rsid w:val="00E31321"/>
    <w:rsid w:val="00E31685"/>
    <w:rsid w:val="00E31700"/>
    <w:rsid w:val="00E3181D"/>
    <w:rsid w:val="00E31852"/>
    <w:rsid w:val="00E318D6"/>
    <w:rsid w:val="00E31943"/>
    <w:rsid w:val="00E31C73"/>
    <w:rsid w:val="00E31CBD"/>
    <w:rsid w:val="00E31D4E"/>
    <w:rsid w:val="00E31F10"/>
    <w:rsid w:val="00E327CB"/>
    <w:rsid w:val="00E32A37"/>
    <w:rsid w:val="00E32C2C"/>
    <w:rsid w:val="00E32C6C"/>
    <w:rsid w:val="00E32FFF"/>
    <w:rsid w:val="00E332AB"/>
    <w:rsid w:val="00E33682"/>
    <w:rsid w:val="00E33DF7"/>
    <w:rsid w:val="00E33F44"/>
    <w:rsid w:val="00E34044"/>
    <w:rsid w:val="00E349B1"/>
    <w:rsid w:val="00E34D43"/>
    <w:rsid w:val="00E35A90"/>
    <w:rsid w:val="00E362F9"/>
    <w:rsid w:val="00E36481"/>
    <w:rsid w:val="00E36C62"/>
    <w:rsid w:val="00E36DC7"/>
    <w:rsid w:val="00E370E7"/>
    <w:rsid w:val="00E3733D"/>
    <w:rsid w:val="00E37947"/>
    <w:rsid w:val="00E37C21"/>
    <w:rsid w:val="00E37C61"/>
    <w:rsid w:val="00E37C69"/>
    <w:rsid w:val="00E37EE1"/>
    <w:rsid w:val="00E401E9"/>
    <w:rsid w:val="00E40369"/>
    <w:rsid w:val="00E40545"/>
    <w:rsid w:val="00E40565"/>
    <w:rsid w:val="00E4115D"/>
    <w:rsid w:val="00E4152B"/>
    <w:rsid w:val="00E41F3E"/>
    <w:rsid w:val="00E4213A"/>
    <w:rsid w:val="00E42630"/>
    <w:rsid w:val="00E426D7"/>
    <w:rsid w:val="00E427B8"/>
    <w:rsid w:val="00E428AB"/>
    <w:rsid w:val="00E428E0"/>
    <w:rsid w:val="00E42A95"/>
    <w:rsid w:val="00E42C47"/>
    <w:rsid w:val="00E42D72"/>
    <w:rsid w:val="00E42E25"/>
    <w:rsid w:val="00E432B1"/>
    <w:rsid w:val="00E43383"/>
    <w:rsid w:val="00E43AD5"/>
    <w:rsid w:val="00E44075"/>
    <w:rsid w:val="00E44C7A"/>
    <w:rsid w:val="00E44C99"/>
    <w:rsid w:val="00E44C9D"/>
    <w:rsid w:val="00E44D64"/>
    <w:rsid w:val="00E4525D"/>
    <w:rsid w:val="00E452DF"/>
    <w:rsid w:val="00E4577B"/>
    <w:rsid w:val="00E45DCC"/>
    <w:rsid w:val="00E4650F"/>
    <w:rsid w:val="00E46775"/>
    <w:rsid w:val="00E46926"/>
    <w:rsid w:val="00E46C32"/>
    <w:rsid w:val="00E474A1"/>
    <w:rsid w:val="00E47505"/>
    <w:rsid w:val="00E479EA"/>
    <w:rsid w:val="00E47D3F"/>
    <w:rsid w:val="00E50074"/>
    <w:rsid w:val="00E501E8"/>
    <w:rsid w:val="00E502E4"/>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184"/>
    <w:rsid w:val="00E54335"/>
    <w:rsid w:val="00E544B1"/>
    <w:rsid w:val="00E546BE"/>
    <w:rsid w:val="00E546D4"/>
    <w:rsid w:val="00E54A55"/>
    <w:rsid w:val="00E54D4D"/>
    <w:rsid w:val="00E54EBC"/>
    <w:rsid w:val="00E54EC8"/>
    <w:rsid w:val="00E553A8"/>
    <w:rsid w:val="00E55DA6"/>
    <w:rsid w:val="00E56042"/>
    <w:rsid w:val="00E56283"/>
    <w:rsid w:val="00E565F3"/>
    <w:rsid w:val="00E56B69"/>
    <w:rsid w:val="00E56CE1"/>
    <w:rsid w:val="00E56F37"/>
    <w:rsid w:val="00E5724E"/>
    <w:rsid w:val="00E5726C"/>
    <w:rsid w:val="00E576C4"/>
    <w:rsid w:val="00E579E6"/>
    <w:rsid w:val="00E57E51"/>
    <w:rsid w:val="00E60258"/>
    <w:rsid w:val="00E6034B"/>
    <w:rsid w:val="00E60754"/>
    <w:rsid w:val="00E60BDA"/>
    <w:rsid w:val="00E60C74"/>
    <w:rsid w:val="00E61070"/>
    <w:rsid w:val="00E610CC"/>
    <w:rsid w:val="00E61184"/>
    <w:rsid w:val="00E6126A"/>
    <w:rsid w:val="00E615A0"/>
    <w:rsid w:val="00E61920"/>
    <w:rsid w:val="00E61DB6"/>
    <w:rsid w:val="00E61E21"/>
    <w:rsid w:val="00E61ECE"/>
    <w:rsid w:val="00E61F58"/>
    <w:rsid w:val="00E625ED"/>
    <w:rsid w:val="00E631BE"/>
    <w:rsid w:val="00E63232"/>
    <w:rsid w:val="00E6359F"/>
    <w:rsid w:val="00E6369C"/>
    <w:rsid w:val="00E638C6"/>
    <w:rsid w:val="00E63B4F"/>
    <w:rsid w:val="00E644F3"/>
    <w:rsid w:val="00E644F5"/>
    <w:rsid w:val="00E6459D"/>
    <w:rsid w:val="00E64727"/>
    <w:rsid w:val="00E647F1"/>
    <w:rsid w:val="00E6487E"/>
    <w:rsid w:val="00E649CB"/>
    <w:rsid w:val="00E64A8C"/>
    <w:rsid w:val="00E64E7C"/>
    <w:rsid w:val="00E6506B"/>
    <w:rsid w:val="00E65112"/>
    <w:rsid w:val="00E65141"/>
    <w:rsid w:val="00E65453"/>
    <w:rsid w:val="00E654D2"/>
    <w:rsid w:val="00E65BC3"/>
    <w:rsid w:val="00E65E66"/>
    <w:rsid w:val="00E66150"/>
    <w:rsid w:val="00E66BC8"/>
    <w:rsid w:val="00E66DAC"/>
    <w:rsid w:val="00E66E95"/>
    <w:rsid w:val="00E6711D"/>
    <w:rsid w:val="00E677B9"/>
    <w:rsid w:val="00E67928"/>
    <w:rsid w:val="00E67B8D"/>
    <w:rsid w:val="00E67D52"/>
    <w:rsid w:val="00E704FA"/>
    <w:rsid w:val="00E70800"/>
    <w:rsid w:val="00E7120D"/>
    <w:rsid w:val="00E71247"/>
    <w:rsid w:val="00E71CCA"/>
    <w:rsid w:val="00E722B2"/>
    <w:rsid w:val="00E7237D"/>
    <w:rsid w:val="00E72750"/>
    <w:rsid w:val="00E728F1"/>
    <w:rsid w:val="00E72918"/>
    <w:rsid w:val="00E72938"/>
    <w:rsid w:val="00E72949"/>
    <w:rsid w:val="00E730DF"/>
    <w:rsid w:val="00E73112"/>
    <w:rsid w:val="00E73985"/>
    <w:rsid w:val="00E73B58"/>
    <w:rsid w:val="00E73DDF"/>
    <w:rsid w:val="00E74721"/>
    <w:rsid w:val="00E74A35"/>
    <w:rsid w:val="00E74DE8"/>
    <w:rsid w:val="00E75416"/>
    <w:rsid w:val="00E758DE"/>
    <w:rsid w:val="00E75DCC"/>
    <w:rsid w:val="00E76514"/>
    <w:rsid w:val="00E76915"/>
    <w:rsid w:val="00E76B30"/>
    <w:rsid w:val="00E76C05"/>
    <w:rsid w:val="00E76CE2"/>
    <w:rsid w:val="00E76D14"/>
    <w:rsid w:val="00E778C7"/>
    <w:rsid w:val="00E8018C"/>
    <w:rsid w:val="00E8024C"/>
    <w:rsid w:val="00E8042C"/>
    <w:rsid w:val="00E8047B"/>
    <w:rsid w:val="00E80556"/>
    <w:rsid w:val="00E80666"/>
    <w:rsid w:val="00E80F5A"/>
    <w:rsid w:val="00E80FB8"/>
    <w:rsid w:val="00E8132B"/>
    <w:rsid w:val="00E81CEC"/>
    <w:rsid w:val="00E82E2A"/>
    <w:rsid w:val="00E8338C"/>
    <w:rsid w:val="00E834AA"/>
    <w:rsid w:val="00E83747"/>
    <w:rsid w:val="00E83B57"/>
    <w:rsid w:val="00E83CF2"/>
    <w:rsid w:val="00E83DCA"/>
    <w:rsid w:val="00E83F30"/>
    <w:rsid w:val="00E8442C"/>
    <w:rsid w:val="00E848D1"/>
    <w:rsid w:val="00E84930"/>
    <w:rsid w:val="00E84AC5"/>
    <w:rsid w:val="00E85012"/>
    <w:rsid w:val="00E856EB"/>
    <w:rsid w:val="00E85786"/>
    <w:rsid w:val="00E8582D"/>
    <w:rsid w:val="00E8589C"/>
    <w:rsid w:val="00E85DE1"/>
    <w:rsid w:val="00E85EAB"/>
    <w:rsid w:val="00E860AB"/>
    <w:rsid w:val="00E8621B"/>
    <w:rsid w:val="00E86285"/>
    <w:rsid w:val="00E8628A"/>
    <w:rsid w:val="00E86326"/>
    <w:rsid w:val="00E86AF0"/>
    <w:rsid w:val="00E86B0F"/>
    <w:rsid w:val="00E86D5B"/>
    <w:rsid w:val="00E8704F"/>
    <w:rsid w:val="00E871E7"/>
    <w:rsid w:val="00E875DC"/>
    <w:rsid w:val="00E87927"/>
    <w:rsid w:val="00E87D0A"/>
    <w:rsid w:val="00E902EB"/>
    <w:rsid w:val="00E90B2B"/>
    <w:rsid w:val="00E90E34"/>
    <w:rsid w:val="00E910EA"/>
    <w:rsid w:val="00E91408"/>
    <w:rsid w:val="00E91459"/>
    <w:rsid w:val="00E914E0"/>
    <w:rsid w:val="00E914EE"/>
    <w:rsid w:val="00E91C6A"/>
    <w:rsid w:val="00E920D4"/>
    <w:rsid w:val="00E924AB"/>
    <w:rsid w:val="00E9256C"/>
    <w:rsid w:val="00E925C5"/>
    <w:rsid w:val="00E92779"/>
    <w:rsid w:val="00E92809"/>
    <w:rsid w:val="00E92B04"/>
    <w:rsid w:val="00E936E1"/>
    <w:rsid w:val="00E93C4A"/>
    <w:rsid w:val="00E93DA2"/>
    <w:rsid w:val="00E95076"/>
    <w:rsid w:val="00E9543D"/>
    <w:rsid w:val="00E9564F"/>
    <w:rsid w:val="00E96010"/>
    <w:rsid w:val="00E960F9"/>
    <w:rsid w:val="00E96482"/>
    <w:rsid w:val="00E968F3"/>
    <w:rsid w:val="00E9714F"/>
    <w:rsid w:val="00E9738A"/>
    <w:rsid w:val="00E974AA"/>
    <w:rsid w:val="00E97A6A"/>
    <w:rsid w:val="00E97A6B"/>
    <w:rsid w:val="00EA036C"/>
    <w:rsid w:val="00EA03DD"/>
    <w:rsid w:val="00EA0885"/>
    <w:rsid w:val="00EA0964"/>
    <w:rsid w:val="00EA0A64"/>
    <w:rsid w:val="00EA0A8A"/>
    <w:rsid w:val="00EA102B"/>
    <w:rsid w:val="00EA116A"/>
    <w:rsid w:val="00EA116C"/>
    <w:rsid w:val="00EA1395"/>
    <w:rsid w:val="00EA1435"/>
    <w:rsid w:val="00EA1737"/>
    <w:rsid w:val="00EA179A"/>
    <w:rsid w:val="00EA17E6"/>
    <w:rsid w:val="00EA1B2B"/>
    <w:rsid w:val="00EA1BE1"/>
    <w:rsid w:val="00EA1E72"/>
    <w:rsid w:val="00EA2113"/>
    <w:rsid w:val="00EA25BB"/>
    <w:rsid w:val="00EA26DD"/>
    <w:rsid w:val="00EA276C"/>
    <w:rsid w:val="00EA289D"/>
    <w:rsid w:val="00EA29A8"/>
    <w:rsid w:val="00EA30A4"/>
    <w:rsid w:val="00EA316C"/>
    <w:rsid w:val="00EA33E4"/>
    <w:rsid w:val="00EA368B"/>
    <w:rsid w:val="00EA3708"/>
    <w:rsid w:val="00EA385D"/>
    <w:rsid w:val="00EA3B6D"/>
    <w:rsid w:val="00EA3D28"/>
    <w:rsid w:val="00EA401A"/>
    <w:rsid w:val="00EA40FF"/>
    <w:rsid w:val="00EA41AE"/>
    <w:rsid w:val="00EA4456"/>
    <w:rsid w:val="00EA4806"/>
    <w:rsid w:val="00EA4E81"/>
    <w:rsid w:val="00EA5301"/>
    <w:rsid w:val="00EA5515"/>
    <w:rsid w:val="00EA6167"/>
    <w:rsid w:val="00EA6765"/>
    <w:rsid w:val="00EA67D5"/>
    <w:rsid w:val="00EA683C"/>
    <w:rsid w:val="00EA6D8A"/>
    <w:rsid w:val="00EA6ED9"/>
    <w:rsid w:val="00EA7279"/>
    <w:rsid w:val="00EA73E3"/>
    <w:rsid w:val="00EA7476"/>
    <w:rsid w:val="00EA7738"/>
    <w:rsid w:val="00EA7829"/>
    <w:rsid w:val="00EB0573"/>
    <w:rsid w:val="00EB07B6"/>
    <w:rsid w:val="00EB1003"/>
    <w:rsid w:val="00EB1300"/>
    <w:rsid w:val="00EB1574"/>
    <w:rsid w:val="00EB158F"/>
    <w:rsid w:val="00EB1906"/>
    <w:rsid w:val="00EB1926"/>
    <w:rsid w:val="00EB1C99"/>
    <w:rsid w:val="00EB1EAB"/>
    <w:rsid w:val="00EB214E"/>
    <w:rsid w:val="00EB2288"/>
    <w:rsid w:val="00EB2356"/>
    <w:rsid w:val="00EB24CF"/>
    <w:rsid w:val="00EB2895"/>
    <w:rsid w:val="00EB2990"/>
    <w:rsid w:val="00EB2A65"/>
    <w:rsid w:val="00EB3559"/>
    <w:rsid w:val="00EB371D"/>
    <w:rsid w:val="00EB3C8D"/>
    <w:rsid w:val="00EB41D2"/>
    <w:rsid w:val="00EB429C"/>
    <w:rsid w:val="00EB430D"/>
    <w:rsid w:val="00EB4465"/>
    <w:rsid w:val="00EB46BF"/>
    <w:rsid w:val="00EB4785"/>
    <w:rsid w:val="00EB4ABE"/>
    <w:rsid w:val="00EB5107"/>
    <w:rsid w:val="00EB51C6"/>
    <w:rsid w:val="00EB5658"/>
    <w:rsid w:val="00EB57EB"/>
    <w:rsid w:val="00EB5B11"/>
    <w:rsid w:val="00EB5C24"/>
    <w:rsid w:val="00EB5CA0"/>
    <w:rsid w:val="00EB62DF"/>
    <w:rsid w:val="00EB6894"/>
    <w:rsid w:val="00EB68F3"/>
    <w:rsid w:val="00EB68FB"/>
    <w:rsid w:val="00EB6C2A"/>
    <w:rsid w:val="00EB6CD0"/>
    <w:rsid w:val="00EB7191"/>
    <w:rsid w:val="00EB71CB"/>
    <w:rsid w:val="00EB7281"/>
    <w:rsid w:val="00EC0497"/>
    <w:rsid w:val="00EC06BD"/>
    <w:rsid w:val="00EC0ACE"/>
    <w:rsid w:val="00EC0B82"/>
    <w:rsid w:val="00EC0CE0"/>
    <w:rsid w:val="00EC0DD9"/>
    <w:rsid w:val="00EC0E6A"/>
    <w:rsid w:val="00EC1118"/>
    <w:rsid w:val="00EC11DE"/>
    <w:rsid w:val="00EC1344"/>
    <w:rsid w:val="00EC1484"/>
    <w:rsid w:val="00EC157B"/>
    <w:rsid w:val="00EC17C0"/>
    <w:rsid w:val="00EC21E1"/>
    <w:rsid w:val="00EC21F4"/>
    <w:rsid w:val="00EC2262"/>
    <w:rsid w:val="00EC22F9"/>
    <w:rsid w:val="00EC237A"/>
    <w:rsid w:val="00EC24C1"/>
    <w:rsid w:val="00EC2D86"/>
    <w:rsid w:val="00EC2FDE"/>
    <w:rsid w:val="00EC3261"/>
    <w:rsid w:val="00EC38DA"/>
    <w:rsid w:val="00EC39FB"/>
    <w:rsid w:val="00EC3EA2"/>
    <w:rsid w:val="00EC3F42"/>
    <w:rsid w:val="00EC3FE2"/>
    <w:rsid w:val="00EC429F"/>
    <w:rsid w:val="00EC43D3"/>
    <w:rsid w:val="00EC48D5"/>
    <w:rsid w:val="00EC4AFE"/>
    <w:rsid w:val="00EC4D5F"/>
    <w:rsid w:val="00EC4EED"/>
    <w:rsid w:val="00EC5538"/>
    <w:rsid w:val="00EC5594"/>
    <w:rsid w:val="00EC597D"/>
    <w:rsid w:val="00EC5D0C"/>
    <w:rsid w:val="00EC5EF1"/>
    <w:rsid w:val="00EC6103"/>
    <w:rsid w:val="00EC66CA"/>
    <w:rsid w:val="00EC67E6"/>
    <w:rsid w:val="00EC6933"/>
    <w:rsid w:val="00EC6CC3"/>
    <w:rsid w:val="00EC71A5"/>
    <w:rsid w:val="00EC7222"/>
    <w:rsid w:val="00EC7697"/>
    <w:rsid w:val="00EC7EC8"/>
    <w:rsid w:val="00EC7FF6"/>
    <w:rsid w:val="00ED135C"/>
    <w:rsid w:val="00ED1755"/>
    <w:rsid w:val="00ED1AEA"/>
    <w:rsid w:val="00ED1E37"/>
    <w:rsid w:val="00ED1F47"/>
    <w:rsid w:val="00ED20FB"/>
    <w:rsid w:val="00ED2157"/>
    <w:rsid w:val="00ED295B"/>
    <w:rsid w:val="00ED30FD"/>
    <w:rsid w:val="00ED337F"/>
    <w:rsid w:val="00ED3750"/>
    <w:rsid w:val="00ED38CC"/>
    <w:rsid w:val="00ED3B12"/>
    <w:rsid w:val="00ED3CD3"/>
    <w:rsid w:val="00ED3EA4"/>
    <w:rsid w:val="00ED4481"/>
    <w:rsid w:val="00ED4657"/>
    <w:rsid w:val="00ED46D2"/>
    <w:rsid w:val="00ED4CE5"/>
    <w:rsid w:val="00ED53A0"/>
    <w:rsid w:val="00ED548B"/>
    <w:rsid w:val="00ED5E25"/>
    <w:rsid w:val="00ED5E35"/>
    <w:rsid w:val="00ED623B"/>
    <w:rsid w:val="00ED640E"/>
    <w:rsid w:val="00ED67E2"/>
    <w:rsid w:val="00ED6A05"/>
    <w:rsid w:val="00ED6A0A"/>
    <w:rsid w:val="00ED6CDF"/>
    <w:rsid w:val="00ED7473"/>
    <w:rsid w:val="00ED7AAB"/>
    <w:rsid w:val="00ED7DE6"/>
    <w:rsid w:val="00EE0072"/>
    <w:rsid w:val="00EE00C8"/>
    <w:rsid w:val="00EE0462"/>
    <w:rsid w:val="00EE04C8"/>
    <w:rsid w:val="00EE0F6D"/>
    <w:rsid w:val="00EE1173"/>
    <w:rsid w:val="00EE135F"/>
    <w:rsid w:val="00EE17D0"/>
    <w:rsid w:val="00EE1823"/>
    <w:rsid w:val="00EE1C4C"/>
    <w:rsid w:val="00EE20DF"/>
    <w:rsid w:val="00EE2474"/>
    <w:rsid w:val="00EE25CA"/>
    <w:rsid w:val="00EE26AF"/>
    <w:rsid w:val="00EE285F"/>
    <w:rsid w:val="00EE28F0"/>
    <w:rsid w:val="00EE2951"/>
    <w:rsid w:val="00EE2B0F"/>
    <w:rsid w:val="00EE2E32"/>
    <w:rsid w:val="00EE2EA6"/>
    <w:rsid w:val="00EE329E"/>
    <w:rsid w:val="00EE3754"/>
    <w:rsid w:val="00EE3B92"/>
    <w:rsid w:val="00EE3BC6"/>
    <w:rsid w:val="00EE3CC8"/>
    <w:rsid w:val="00EE3CD1"/>
    <w:rsid w:val="00EE421F"/>
    <w:rsid w:val="00EE42DD"/>
    <w:rsid w:val="00EE4697"/>
    <w:rsid w:val="00EE46F1"/>
    <w:rsid w:val="00EE486E"/>
    <w:rsid w:val="00EE4A0F"/>
    <w:rsid w:val="00EE4B19"/>
    <w:rsid w:val="00EE50DD"/>
    <w:rsid w:val="00EE50EA"/>
    <w:rsid w:val="00EE5133"/>
    <w:rsid w:val="00EE549A"/>
    <w:rsid w:val="00EE5A17"/>
    <w:rsid w:val="00EE5C44"/>
    <w:rsid w:val="00EE62E8"/>
    <w:rsid w:val="00EE6618"/>
    <w:rsid w:val="00EE680E"/>
    <w:rsid w:val="00EE6939"/>
    <w:rsid w:val="00EE71F0"/>
    <w:rsid w:val="00EE74F5"/>
    <w:rsid w:val="00EF00BC"/>
    <w:rsid w:val="00EF00E1"/>
    <w:rsid w:val="00EF02AD"/>
    <w:rsid w:val="00EF0393"/>
    <w:rsid w:val="00EF0B50"/>
    <w:rsid w:val="00EF0C17"/>
    <w:rsid w:val="00EF11C4"/>
    <w:rsid w:val="00EF18AF"/>
    <w:rsid w:val="00EF1A5A"/>
    <w:rsid w:val="00EF1C6D"/>
    <w:rsid w:val="00EF1EB2"/>
    <w:rsid w:val="00EF228A"/>
    <w:rsid w:val="00EF293E"/>
    <w:rsid w:val="00EF2A72"/>
    <w:rsid w:val="00EF2BC0"/>
    <w:rsid w:val="00EF2FD1"/>
    <w:rsid w:val="00EF31E3"/>
    <w:rsid w:val="00EF322A"/>
    <w:rsid w:val="00EF35A0"/>
    <w:rsid w:val="00EF3B65"/>
    <w:rsid w:val="00EF4431"/>
    <w:rsid w:val="00EF44C3"/>
    <w:rsid w:val="00EF46E4"/>
    <w:rsid w:val="00EF4EF0"/>
    <w:rsid w:val="00EF4F2D"/>
    <w:rsid w:val="00EF4FD4"/>
    <w:rsid w:val="00EF508B"/>
    <w:rsid w:val="00EF51DE"/>
    <w:rsid w:val="00EF575B"/>
    <w:rsid w:val="00EF57CD"/>
    <w:rsid w:val="00EF57E4"/>
    <w:rsid w:val="00EF5BEA"/>
    <w:rsid w:val="00EF611D"/>
    <w:rsid w:val="00EF65C4"/>
    <w:rsid w:val="00EF66C5"/>
    <w:rsid w:val="00EF79C0"/>
    <w:rsid w:val="00F00397"/>
    <w:rsid w:val="00F008B9"/>
    <w:rsid w:val="00F008D1"/>
    <w:rsid w:val="00F0111E"/>
    <w:rsid w:val="00F01885"/>
    <w:rsid w:val="00F01C1A"/>
    <w:rsid w:val="00F01DA9"/>
    <w:rsid w:val="00F0225C"/>
    <w:rsid w:val="00F023E7"/>
    <w:rsid w:val="00F024CC"/>
    <w:rsid w:val="00F02A5D"/>
    <w:rsid w:val="00F02E79"/>
    <w:rsid w:val="00F02E7A"/>
    <w:rsid w:val="00F02FB2"/>
    <w:rsid w:val="00F0317B"/>
    <w:rsid w:val="00F0341B"/>
    <w:rsid w:val="00F036E3"/>
    <w:rsid w:val="00F04052"/>
    <w:rsid w:val="00F04081"/>
    <w:rsid w:val="00F0452C"/>
    <w:rsid w:val="00F046C9"/>
    <w:rsid w:val="00F047FA"/>
    <w:rsid w:val="00F04FB0"/>
    <w:rsid w:val="00F0519D"/>
    <w:rsid w:val="00F051E7"/>
    <w:rsid w:val="00F05B63"/>
    <w:rsid w:val="00F05FF9"/>
    <w:rsid w:val="00F063B1"/>
    <w:rsid w:val="00F0670C"/>
    <w:rsid w:val="00F06D46"/>
    <w:rsid w:val="00F06E9B"/>
    <w:rsid w:val="00F073DF"/>
    <w:rsid w:val="00F0747B"/>
    <w:rsid w:val="00F07766"/>
    <w:rsid w:val="00F07F71"/>
    <w:rsid w:val="00F1033E"/>
    <w:rsid w:val="00F10431"/>
    <w:rsid w:val="00F10929"/>
    <w:rsid w:val="00F10F1C"/>
    <w:rsid w:val="00F1159B"/>
    <w:rsid w:val="00F116D4"/>
    <w:rsid w:val="00F12172"/>
    <w:rsid w:val="00F1278E"/>
    <w:rsid w:val="00F12AEF"/>
    <w:rsid w:val="00F13045"/>
    <w:rsid w:val="00F131F2"/>
    <w:rsid w:val="00F13355"/>
    <w:rsid w:val="00F13C06"/>
    <w:rsid w:val="00F13E84"/>
    <w:rsid w:val="00F140DF"/>
    <w:rsid w:val="00F142E1"/>
    <w:rsid w:val="00F1440E"/>
    <w:rsid w:val="00F14546"/>
    <w:rsid w:val="00F148A0"/>
    <w:rsid w:val="00F14949"/>
    <w:rsid w:val="00F14BC0"/>
    <w:rsid w:val="00F14C52"/>
    <w:rsid w:val="00F14DD5"/>
    <w:rsid w:val="00F15033"/>
    <w:rsid w:val="00F150B0"/>
    <w:rsid w:val="00F15B29"/>
    <w:rsid w:val="00F15F00"/>
    <w:rsid w:val="00F16828"/>
    <w:rsid w:val="00F16A91"/>
    <w:rsid w:val="00F16E4A"/>
    <w:rsid w:val="00F17209"/>
    <w:rsid w:val="00F17911"/>
    <w:rsid w:val="00F17A9C"/>
    <w:rsid w:val="00F17F7A"/>
    <w:rsid w:val="00F20203"/>
    <w:rsid w:val="00F20209"/>
    <w:rsid w:val="00F20359"/>
    <w:rsid w:val="00F209E2"/>
    <w:rsid w:val="00F20FF1"/>
    <w:rsid w:val="00F21116"/>
    <w:rsid w:val="00F2147C"/>
    <w:rsid w:val="00F21925"/>
    <w:rsid w:val="00F224A3"/>
    <w:rsid w:val="00F22919"/>
    <w:rsid w:val="00F22E59"/>
    <w:rsid w:val="00F22FE2"/>
    <w:rsid w:val="00F234FD"/>
    <w:rsid w:val="00F2351E"/>
    <w:rsid w:val="00F23681"/>
    <w:rsid w:val="00F23793"/>
    <w:rsid w:val="00F23C6D"/>
    <w:rsid w:val="00F24676"/>
    <w:rsid w:val="00F24CBD"/>
    <w:rsid w:val="00F25001"/>
    <w:rsid w:val="00F25104"/>
    <w:rsid w:val="00F2515F"/>
    <w:rsid w:val="00F2528F"/>
    <w:rsid w:val="00F256FB"/>
    <w:rsid w:val="00F2591B"/>
    <w:rsid w:val="00F25BCD"/>
    <w:rsid w:val="00F261B8"/>
    <w:rsid w:val="00F2631E"/>
    <w:rsid w:val="00F269AB"/>
    <w:rsid w:val="00F26CE9"/>
    <w:rsid w:val="00F26D78"/>
    <w:rsid w:val="00F26EF9"/>
    <w:rsid w:val="00F27107"/>
    <w:rsid w:val="00F2730E"/>
    <w:rsid w:val="00F2733D"/>
    <w:rsid w:val="00F273E2"/>
    <w:rsid w:val="00F2762E"/>
    <w:rsid w:val="00F27674"/>
    <w:rsid w:val="00F279A8"/>
    <w:rsid w:val="00F27AA6"/>
    <w:rsid w:val="00F27C6A"/>
    <w:rsid w:val="00F302F3"/>
    <w:rsid w:val="00F311A8"/>
    <w:rsid w:val="00F314F8"/>
    <w:rsid w:val="00F31785"/>
    <w:rsid w:val="00F317A6"/>
    <w:rsid w:val="00F31834"/>
    <w:rsid w:val="00F3205F"/>
    <w:rsid w:val="00F3234A"/>
    <w:rsid w:val="00F3276F"/>
    <w:rsid w:val="00F32AC8"/>
    <w:rsid w:val="00F32CB4"/>
    <w:rsid w:val="00F330D4"/>
    <w:rsid w:val="00F335DC"/>
    <w:rsid w:val="00F33731"/>
    <w:rsid w:val="00F33B32"/>
    <w:rsid w:val="00F33F21"/>
    <w:rsid w:val="00F34245"/>
    <w:rsid w:val="00F34459"/>
    <w:rsid w:val="00F349BA"/>
    <w:rsid w:val="00F34B5D"/>
    <w:rsid w:val="00F34BB8"/>
    <w:rsid w:val="00F34C75"/>
    <w:rsid w:val="00F35467"/>
    <w:rsid w:val="00F35583"/>
    <w:rsid w:val="00F356F4"/>
    <w:rsid w:val="00F357A4"/>
    <w:rsid w:val="00F35C4F"/>
    <w:rsid w:val="00F366D2"/>
    <w:rsid w:val="00F368DB"/>
    <w:rsid w:val="00F36DEC"/>
    <w:rsid w:val="00F3708C"/>
    <w:rsid w:val="00F3746F"/>
    <w:rsid w:val="00F37481"/>
    <w:rsid w:val="00F37771"/>
    <w:rsid w:val="00F37923"/>
    <w:rsid w:val="00F379DD"/>
    <w:rsid w:val="00F37BA0"/>
    <w:rsid w:val="00F4031C"/>
    <w:rsid w:val="00F4037A"/>
    <w:rsid w:val="00F404CF"/>
    <w:rsid w:val="00F40EFA"/>
    <w:rsid w:val="00F40F0E"/>
    <w:rsid w:val="00F410D0"/>
    <w:rsid w:val="00F411A5"/>
    <w:rsid w:val="00F41429"/>
    <w:rsid w:val="00F41502"/>
    <w:rsid w:val="00F4167D"/>
    <w:rsid w:val="00F41791"/>
    <w:rsid w:val="00F41A99"/>
    <w:rsid w:val="00F41AA2"/>
    <w:rsid w:val="00F41AAD"/>
    <w:rsid w:val="00F41B71"/>
    <w:rsid w:val="00F41CF3"/>
    <w:rsid w:val="00F41EC4"/>
    <w:rsid w:val="00F41F8E"/>
    <w:rsid w:val="00F41FE5"/>
    <w:rsid w:val="00F4216D"/>
    <w:rsid w:val="00F423FD"/>
    <w:rsid w:val="00F4368F"/>
    <w:rsid w:val="00F43732"/>
    <w:rsid w:val="00F437E1"/>
    <w:rsid w:val="00F43960"/>
    <w:rsid w:val="00F43C50"/>
    <w:rsid w:val="00F43DE1"/>
    <w:rsid w:val="00F441BD"/>
    <w:rsid w:val="00F44399"/>
    <w:rsid w:val="00F447ED"/>
    <w:rsid w:val="00F44F05"/>
    <w:rsid w:val="00F44FC6"/>
    <w:rsid w:val="00F45194"/>
    <w:rsid w:val="00F45242"/>
    <w:rsid w:val="00F45A91"/>
    <w:rsid w:val="00F45EC3"/>
    <w:rsid w:val="00F460F1"/>
    <w:rsid w:val="00F4633F"/>
    <w:rsid w:val="00F466D8"/>
    <w:rsid w:val="00F46B97"/>
    <w:rsid w:val="00F46CD4"/>
    <w:rsid w:val="00F46ED5"/>
    <w:rsid w:val="00F46FF9"/>
    <w:rsid w:val="00F47292"/>
    <w:rsid w:val="00F47530"/>
    <w:rsid w:val="00F476F5"/>
    <w:rsid w:val="00F4787B"/>
    <w:rsid w:val="00F47B38"/>
    <w:rsid w:val="00F47C22"/>
    <w:rsid w:val="00F501AE"/>
    <w:rsid w:val="00F50783"/>
    <w:rsid w:val="00F50869"/>
    <w:rsid w:val="00F5086C"/>
    <w:rsid w:val="00F50A01"/>
    <w:rsid w:val="00F50EC0"/>
    <w:rsid w:val="00F5122D"/>
    <w:rsid w:val="00F51433"/>
    <w:rsid w:val="00F524E0"/>
    <w:rsid w:val="00F526C3"/>
    <w:rsid w:val="00F52AD0"/>
    <w:rsid w:val="00F52F78"/>
    <w:rsid w:val="00F53290"/>
    <w:rsid w:val="00F53362"/>
    <w:rsid w:val="00F533CE"/>
    <w:rsid w:val="00F535C4"/>
    <w:rsid w:val="00F53928"/>
    <w:rsid w:val="00F53ACC"/>
    <w:rsid w:val="00F53BCB"/>
    <w:rsid w:val="00F53D26"/>
    <w:rsid w:val="00F53E65"/>
    <w:rsid w:val="00F53FFB"/>
    <w:rsid w:val="00F54997"/>
    <w:rsid w:val="00F54AE4"/>
    <w:rsid w:val="00F54BB3"/>
    <w:rsid w:val="00F54D41"/>
    <w:rsid w:val="00F55226"/>
    <w:rsid w:val="00F55A98"/>
    <w:rsid w:val="00F5685F"/>
    <w:rsid w:val="00F56A0A"/>
    <w:rsid w:val="00F56D63"/>
    <w:rsid w:val="00F576A4"/>
    <w:rsid w:val="00F576C9"/>
    <w:rsid w:val="00F60485"/>
    <w:rsid w:val="00F60771"/>
    <w:rsid w:val="00F60C9C"/>
    <w:rsid w:val="00F60EE6"/>
    <w:rsid w:val="00F6131D"/>
    <w:rsid w:val="00F61399"/>
    <w:rsid w:val="00F61730"/>
    <w:rsid w:val="00F61913"/>
    <w:rsid w:val="00F61F02"/>
    <w:rsid w:val="00F62D33"/>
    <w:rsid w:val="00F62F80"/>
    <w:rsid w:val="00F632C4"/>
    <w:rsid w:val="00F63712"/>
    <w:rsid w:val="00F63A87"/>
    <w:rsid w:val="00F6422F"/>
    <w:rsid w:val="00F64280"/>
    <w:rsid w:val="00F644E2"/>
    <w:rsid w:val="00F6461E"/>
    <w:rsid w:val="00F64AEC"/>
    <w:rsid w:val="00F64ECC"/>
    <w:rsid w:val="00F65327"/>
    <w:rsid w:val="00F6544A"/>
    <w:rsid w:val="00F66290"/>
    <w:rsid w:val="00F662A5"/>
    <w:rsid w:val="00F6663E"/>
    <w:rsid w:val="00F667D5"/>
    <w:rsid w:val="00F6685A"/>
    <w:rsid w:val="00F669BB"/>
    <w:rsid w:val="00F66C18"/>
    <w:rsid w:val="00F66D4F"/>
    <w:rsid w:val="00F670F5"/>
    <w:rsid w:val="00F67308"/>
    <w:rsid w:val="00F674FD"/>
    <w:rsid w:val="00F70706"/>
    <w:rsid w:val="00F70719"/>
    <w:rsid w:val="00F70778"/>
    <w:rsid w:val="00F707E1"/>
    <w:rsid w:val="00F71508"/>
    <w:rsid w:val="00F71509"/>
    <w:rsid w:val="00F71623"/>
    <w:rsid w:val="00F7176C"/>
    <w:rsid w:val="00F717EB"/>
    <w:rsid w:val="00F71986"/>
    <w:rsid w:val="00F720CC"/>
    <w:rsid w:val="00F72538"/>
    <w:rsid w:val="00F725C3"/>
    <w:rsid w:val="00F72679"/>
    <w:rsid w:val="00F7270F"/>
    <w:rsid w:val="00F72805"/>
    <w:rsid w:val="00F72A48"/>
    <w:rsid w:val="00F72B90"/>
    <w:rsid w:val="00F72F8D"/>
    <w:rsid w:val="00F730ED"/>
    <w:rsid w:val="00F7317C"/>
    <w:rsid w:val="00F736F1"/>
    <w:rsid w:val="00F73AFF"/>
    <w:rsid w:val="00F73E85"/>
    <w:rsid w:val="00F73EC7"/>
    <w:rsid w:val="00F73F05"/>
    <w:rsid w:val="00F74009"/>
    <w:rsid w:val="00F74084"/>
    <w:rsid w:val="00F743C2"/>
    <w:rsid w:val="00F74601"/>
    <w:rsid w:val="00F74678"/>
    <w:rsid w:val="00F7484E"/>
    <w:rsid w:val="00F74993"/>
    <w:rsid w:val="00F74BD3"/>
    <w:rsid w:val="00F75A40"/>
    <w:rsid w:val="00F760E8"/>
    <w:rsid w:val="00F763CD"/>
    <w:rsid w:val="00F765BB"/>
    <w:rsid w:val="00F7667B"/>
    <w:rsid w:val="00F766F9"/>
    <w:rsid w:val="00F76C16"/>
    <w:rsid w:val="00F76EDA"/>
    <w:rsid w:val="00F77403"/>
    <w:rsid w:val="00F7776E"/>
    <w:rsid w:val="00F77C79"/>
    <w:rsid w:val="00F80082"/>
    <w:rsid w:val="00F800C4"/>
    <w:rsid w:val="00F802FF"/>
    <w:rsid w:val="00F8051A"/>
    <w:rsid w:val="00F805A4"/>
    <w:rsid w:val="00F80C59"/>
    <w:rsid w:val="00F81468"/>
    <w:rsid w:val="00F81551"/>
    <w:rsid w:val="00F81B60"/>
    <w:rsid w:val="00F81D20"/>
    <w:rsid w:val="00F82906"/>
    <w:rsid w:val="00F82B4B"/>
    <w:rsid w:val="00F82CBA"/>
    <w:rsid w:val="00F82D40"/>
    <w:rsid w:val="00F8314A"/>
    <w:rsid w:val="00F831C4"/>
    <w:rsid w:val="00F832CF"/>
    <w:rsid w:val="00F8344E"/>
    <w:rsid w:val="00F83728"/>
    <w:rsid w:val="00F838E5"/>
    <w:rsid w:val="00F84108"/>
    <w:rsid w:val="00F841B5"/>
    <w:rsid w:val="00F84290"/>
    <w:rsid w:val="00F8429D"/>
    <w:rsid w:val="00F84992"/>
    <w:rsid w:val="00F84CCF"/>
    <w:rsid w:val="00F84F62"/>
    <w:rsid w:val="00F854D5"/>
    <w:rsid w:val="00F85700"/>
    <w:rsid w:val="00F85A92"/>
    <w:rsid w:val="00F85AAC"/>
    <w:rsid w:val="00F85E18"/>
    <w:rsid w:val="00F86295"/>
    <w:rsid w:val="00F863F9"/>
    <w:rsid w:val="00F8694F"/>
    <w:rsid w:val="00F86C1F"/>
    <w:rsid w:val="00F86CA5"/>
    <w:rsid w:val="00F87CC2"/>
    <w:rsid w:val="00F90148"/>
    <w:rsid w:val="00F901C7"/>
    <w:rsid w:val="00F9041C"/>
    <w:rsid w:val="00F908C1"/>
    <w:rsid w:val="00F90DD7"/>
    <w:rsid w:val="00F911C5"/>
    <w:rsid w:val="00F914EB"/>
    <w:rsid w:val="00F9154F"/>
    <w:rsid w:val="00F91930"/>
    <w:rsid w:val="00F91E07"/>
    <w:rsid w:val="00F91EBE"/>
    <w:rsid w:val="00F92010"/>
    <w:rsid w:val="00F921DB"/>
    <w:rsid w:val="00F92DB2"/>
    <w:rsid w:val="00F938CF"/>
    <w:rsid w:val="00F93915"/>
    <w:rsid w:val="00F93AA5"/>
    <w:rsid w:val="00F93E95"/>
    <w:rsid w:val="00F9420C"/>
    <w:rsid w:val="00F94932"/>
    <w:rsid w:val="00F950D1"/>
    <w:rsid w:val="00F953C9"/>
    <w:rsid w:val="00F957F3"/>
    <w:rsid w:val="00F95833"/>
    <w:rsid w:val="00F9592B"/>
    <w:rsid w:val="00F959C8"/>
    <w:rsid w:val="00F95E29"/>
    <w:rsid w:val="00F962B0"/>
    <w:rsid w:val="00F969A9"/>
    <w:rsid w:val="00F96B62"/>
    <w:rsid w:val="00F970BE"/>
    <w:rsid w:val="00F9792E"/>
    <w:rsid w:val="00F979BF"/>
    <w:rsid w:val="00F97B48"/>
    <w:rsid w:val="00F97CB5"/>
    <w:rsid w:val="00FA001F"/>
    <w:rsid w:val="00FA013F"/>
    <w:rsid w:val="00FA0522"/>
    <w:rsid w:val="00FA099F"/>
    <w:rsid w:val="00FA0C75"/>
    <w:rsid w:val="00FA0FE1"/>
    <w:rsid w:val="00FA115B"/>
    <w:rsid w:val="00FA14BA"/>
    <w:rsid w:val="00FA163D"/>
    <w:rsid w:val="00FA17F9"/>
    <w:rsid w:val="00FA18C1"/>
    <w:rsid w:val="00FA19C5"/>
    <w:rsid w:val="00FA1B85"/>
    <w:rsid w:val="00FA1EFA"/>
    <w:rsid w:val="00FA252D"/>
    <w:rsid w:val="00FA2635"/>
    <w:rsid w:val="00FA2662"/>
    <w:rsid w:val="00FA26BE"/>
    <w:rsid w:val="00FA26E7"/>
    <w:rsid w:val="00FA3534"/>
    <w:rsid w:val="00FA3789"/>
    <w:rsid w:val="00FA37B9"/>
    <w:rsid w:val="00FA3947"/>
    <w:rsid w:val="00FA3E06"/>
    <w:rsid w:val="00FA48B0"/>
    <w:rsid w:val="00FA4AD4"/>
    <w:rsid w:val="00FA4E1C"/>
    <w:rsid w:val="00FA5231"/>
    <w:rsid w:val="00FA541D"/>
    <w:rsid w:val="00FA5928"/>
    <w:rsid w:val="00FA5A93"/>
    <w:rsid w:val="00FA5DE4"/>
    <w:rsid w:val="00FA649C"/>
    <w:rsid w:val="00FA655E"/>
    <w:rsid w:val="00FA6560"/>
    <w:rsid w:val="00FA67A1"/>
    <w:rsid w:val="00FA693E"/>
    <w:rsid w:val="00FA6A2A"/>
    <w:rsid w:val="00FA6E9A"/>
    <w:rsid w:val="00FA6EDE"/>
    <w:rsid w:val="00FA7094"/>
    <w:rsid w:val="00FA7647"/>
    <w:rsid w:val="00FA76C9"/>
    <w:rsid w:val="00FA76CE"/>
    <w:rsid w:val="00FA79D6"/>
    <w:rsid w:val="00FA7A98"/>
    <w:rsid w:val="00FA7B2E"/>
    <w:rsid w:val="00FA7F43"/>
    <w:rsid w:val="00FB05BD"/>
    <w:rsid w:val="00FB0879"/>
    <w:rsid w:val="00FB0971"/>
    <w:rsid w:val="00FB12BD"/>
    <w:rsid w:val="00FB1989"/>
    <w:rsid w:val="00FB19A8"/>
    <w:rsid w:val="00FB2341"/>
    <w:rsid w:val="00FB255D"/>
    <w:rsid w:val="00FB2602"/>
    <w:rsid w:val="00FB2772"/>
    <w:rsid w:val="00FB2A88"/>
    <w:rsid w:val="00FB2D78"/>
    <w:rsid w:val="00FB2FA2"/>
    <w:rsid w:val="00FB314B"/>
    <w:rsid w:val="00FB32CE"/>
    <w:rsid w:val="00FB3339"/>
    <w:rsid w:val="00FB358F"/>
    <w:rsid w:val="00FB36D0"/>
    <w:rsid w:val="00FB39F1"/>
    <w:rsid w:val="00FB3E56"/>
    <w:rsid w:val="00FB421E"/>
    <w:rsid w:val="00FB4437"/>
    <w:rsid w:val="00FB4593"/>
    <w:rsid w:val="00FB473F"/>
    <w:rsid w:val="00FB48A6"/>
    <w:rsid w:val="00FB4918"/>
    <w:rsid w:val="00FB4A00"/>
    <w:rsid w:val="00FB4CC9"/>
    <w:rsid w:val="00FB4D01"/>
    <w:rsid w:val="00FB4D44"/>
    <w:rsid w:val="00FB4D89"/>
    <w:rsid w:val="00FB4EE1"/>
    <w:rsid w:val="00FB5952"/>
    <w:rsid w:val="00FB5DBC"/>
    <w:rsid w:val="00FB6297"/>
    <w:rsid w:val="00FB62E0"/>
    <w:rsid w:val="00FB6783"/>
    <w:rsid w:val="00FB685B"/>
    <w:rsid w:val="00FB6F34"/>
    <w:rsid w:val="00FB6F44"/>
    <w:rsid w:val="00FB778F"/>
    <w:rsid w:val="00FB7DD0"/>
    <w:rsid w:val="00FB7E89"/>
    <w:rsid w:val="00FC0244"/>
    <w:rsid w:val="00FC08A3"/>
    <w:rsid w:val="00FC08AA"/>
    <w:rsid w:val="00FC148B"/>
    <w:rsid w:val="00FC17BD"/>
    <w:rsid w:val="00FC1BA0"/>
    <w:rsid w:val="00FC1DBA"/>
    <w:rsid w:val="00FC1DCE"/>
    <w:rsid w:val="00FC1E06"/>
    <w:rsid w:val="00FC2258"/>
    <w:rsid w:val="00FC2730"/>
    <w:rsid w:val="00FC3209"/>
    <w:rsid w:val="00FC3B1B"/>
    <w:rsid w:val="00FC3C7E"/>
    <w:rsid w:val="00FC3CBE"/>
    <w:rsid w:val="00FC405B"/>
    <w:rsid w:val="00FC45EF"/>
    <w:rsid w:val="00FC47CC"/>
    <w:rsid w:val="00FC4B4B"/>
    <w:rsid w:val="00FC525E"/>
    <w:rsid w:val="00FC5369"/>
    <w:rsid w:val="00FC5E9D"/>
    <w:rsid w:val="00FC5F67"/>
    <w:rsid w:val="00FC6042"/>
    <w:rsid w:val="00FC6287"/>
    <w:rsid w:val="00FC6365"/>
    <w:rsid w:val="00FC64D0"/>
    <w:rsid w:val="00FC65A7"/>
    <w:rsid w:val="00FC679F"/>
    <w:rsid w:val="00FC6A32"/>
    <w:rsid w:val="00FC6D8C"/>
    <w:rsid w:val="00FC7204"/>
    <w:rsid w:val="00FC757A"/>
    <w:rsid w:val="00FC75F7"/>
    <w:rsid w:val="00FC76EB"/>
    <w:rsid w:val="00FC78A4"/>
    <w:rsid w:val="00FC79B7"/>
    <w:rsid w:val="00FD0001"/>
    <w:rsid w:val="00FD014C"/>
    <w:rsid w:val="00FD0188"/>
    <w:rsid w:val="00FD0318"/>
    <w:rsid w:val="00FD0A83"/>
    <w:rsid w:val="00FD1109"/>
    <w:rsid w:val="00FD11F1"/>
    <w:rsid w:val="00FD154E"/>
    <w:rsid w:val="00FD1874"/>
    <w:rsid w:val="00FD1E61"/>
    <w:rsid w:val="00FD1EEE"/>
    <w:rsid w:val="00FD2141"/>
    <w:rsid w:val="00FD23CA"/>
    <w:rsid w:val="00FD263C"/>
    <w:rsid w:val="00FD2788"/>
    <w:rsid w:val="00FD2832"/>
    <w:rsid w:val="00FD28B6"/>
    <w:rsid w:val="00FD28CF"/>
    <w:rsid w:val="00FD291A"/>
    <w:rsid w:val="00FD296A"/>
    <w:rsid w:val="00FD2AFD"/>
    <w:rsid w:val="00FD2EE9"/>
    <w:rsid w:val="00FD3702"/>
    <w:rsid w:val="00FD3997"/>
    <w:rsid w:val="00FD3C49"/>
    <w:rsid w:val="00FD3FF3"/>
    <w:rsid w:val="00FD439D"/>
    <w:rsid w:val="00FD446F"/>
    <w:rsid w:val="00FD4788"/>
    <w:rsid w:val="00FD479F"/>
    <w:rsid w:val="00FD4B10"/>
    <w:rsid w:val="00FD4CC9"/>
    <w:rsid w:val="00FD4E45"/>
    <w:rsid w:val="00FD505D"/>
    <w:rsid w:val="00FD56AD"/>
    <w:rsid w:val="00FD5BF9"/>
    <w:rsid w:val="00FD5C42"/>
    <w:rsid w:val="00FD5E9F"/>
    <w:rsid w:val="00FD648B"/>
    <w:rsid w:val="00FD681A"/>
    <w:rsid w:val="00FD7515"/>
    <w:rsid w:val="00FD76B1"/>
    <w:rsid w:val="00FD777A"/>
    <w:rsid w:val="00FD7884"/>
    <w:rsid w:val="00FD7A5A"/>
    <w:rsid w:val="00FE04B8"/>
    <w:rsid w:val="00FE04E2"/>
    <w:rsid w:val="00FE04E6"/>
    <w:rsid w:val="00FE05D6"/>
    <w:rsid w:val="00FE06E0"/>
    <w:rsid w:val="00FE0A1D"/>
    <w:rsid w:val="00FE0AE2"/>
    <w:rsid w:val="00FE0B9E"/>
    <w:rsid w:val="00FE0DAE"/>
    <w:rsid w:val="00FE107D"/>
    <w:rsid w:val="00FE1176"/>
    <w:rsid w:val="00FE1249"/>
    <w:rsid w:val="00FE128D"/>
    <w:rsid w:val="00FE1414"/>
    <w:rsid w:val="00FE1629"/>
    <w:rsid w:val="00FE2184"/>
    <w:rsid w:val="00FE21B3"/>
    <w:rsid w:val="00FE2333"/>
    <w:rsid w:val="00FE2789"/>
    <w:rsid w:val="00FE27C4"/>
    <w:rsid w:val="00FE27F4"/>
    <w:rsid w:val="00FE29DB"/>
    <w:rsid w:val="00FE2A6B"/>
    <w:rsid w:val="00FE30F6"/>
    <w:rsid w:val="00FE3ABA"/>
    <w:rsid w:val="00FE3FF7"/>
    <w:rsid w:val="00FE4479"/>
    <w:rsid w:val="00FE44C9"/>
    <w:rsid w:val="00FE4A60"/>
    <w:rsid w:val="00FE4C3C"/>
    <w:rsid w:val="00FE4CD8"/>
    <w:rsid w:val="00FE4CEB"/>
    <w:rsid w:val="00FE4D9B"/>
    <w:rsid w:val="00FE4DAF"/>
    <w:rsid w:val="00FE4E8D"/>
    <w:rsid w:val="00FE5540"/>
    <w:rsid w:val="00FE560B"/>
    <w:rsid w:val="00FE56E8"/>
    <w:rsid w:val="00FE5B80"/>
    <w:rsid w:val="00FE5F3B"/>
    <w:rsid w:val="00FE6021"/>
    <w:rsid w:val="00FE634B"/>
    <w:rsid w:val="00FE6358"/>
    <w:rsid w:val="00FE63FD"/>
    <w:rsid w:val="00FE6E9B"/>
    <w:rsid w:val="00FE6EB2"/>
    <w:rsid w:val="00FE6F69"/>
    <w:rsid w:val="00FE725A"/>
    <w:rsid w:val="00FE7F15"/>
    <w:rsid w:val="00FF05EF"/>
    <w:rsid w:val="00FF0A05"/>
    <w:rsid w:val="00FF0AB8"/>
    <w:rsid w:val="00FF0CFB"/>
    <w:rsid w:val="00FF1095"/>
    <w:rsid w:val="00FF1163"/>
    <w:rsid w:val="00FF1338"/>
    <w:rsid w:val="00FF1389"/>
    <w:rsid w:val="00FF13DC"/>
    <w:rsid w:val="00FF16BE"/>
    <w:rsid w:val="00FF17F6"/>
    <w:rsid w:val="00FF184F"/>
    <w:rsid w:val="00FF1A7B"/>
    <w:rsid w:val="00FF208B"/>
    <w:rsid w:val="00FF2122"/>
    <w:rsid w:val="00FF2163"/>
    <w:rsid w:val="00FF2237"/>
    <w:rsid w:val="00FF240A"/>
    <w:rsid w:val="00FF2ADE"/>
    <w:rsid w:val="00FF2B19"/>
    <w:rsid w:val="00FF2D1C"/>
    <w:rsid w:val="00FF2D24"/>
    <w:rsid w:val="00FF2D6C"/>
    <w:rsid w:val="00FF31F8"/>
    <w:rsid w:val="00FF360A"/>
    <w:rsid w:val="00FF3B8E"/>
    <w:rsid w:val="00FF40ED"/>
    <w:rsid w:val="00FF4194"/>
    <w:rsid w:val="00FF41AC"/>
    <w:rsid w:val="00FF4B37"/>
    <w:rsid w:val="00FF501E"/>
    <w:rsid w:val="00FF5327"/>
    <w:rsid w:val="00FF6347"/>
    <w:rsid w:val="00FF65A5"/>
    <w:rsid w:val="00FF65BA"/>
    <w:rsid w:val="00FF6BBB"/>
    <w:rsid w:val="00FF701E"/>
    <w:rsid w:val="00FF744F"/>
    <w:rsid w:val="00FF761B"/>
    <w:rsid w:val="00FF7AE4"/>
    <w:rsid w:val="00FF7C6D"/>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colormru v:ext="edit" colors="#bd1f2b,#cf1e24,#d90b13,#e31c18"/>
    </o:shapedefaults>
    <o:shapelayout v:ext="edit">
      <o:idmap v:ext="edit" data="1"/>
    </o:shapelayout>
  </w:shapeDefaults>
  <w:decimalSymbol w:val=","/>
  <w:listSeparator w:val=";"/>
  <w14:docId w14:val="2C15E0BF"/>
  <w15:docId w15:val="{6744C4BB-C5A0-4EF2-ACBB-D1429FE3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3">
    <w:name w:val="heading 3"/>
    <w:basedOn w:val="Normale"/>
    <w:next w:val="Normale"/>
    <w:link w:val="Titolo3Carattere"/>
    <w:unhideWhenUsed/>
    <w:qFormat/>
    <w:locked/>
    <w:rsid w:val="00931087"/>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CC0BEA"/>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CC0BEA"/>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2E15DD"/>
    <w:pPr>
      <w:ind w:left="720"/>
      <w:contextualSpacing/>
    </w:pPr>
  </w:style>
  <w:style w:type="character" w:customStyle="1" w:styleId="Titolo3Carattere">
    <w:name w:val="Titolo 3 Carattere"/>
    <w:basedOn w:val="Carpredefinitoparagrafo"/>
    <w:link w:val="Titolo3"/>
    <w:rsid w:val="00931087"/>
    <w:rPr>
      <w:rFonts w:asciiTheme="majorHAnsi" w:eastAsiaTheme="majorEastAsia" w:hAnsiTheme="majorHAnsi" w:cstheme="majorBidi"/>
      <w:b/>
      <w:bCs/>
      <w:color w:val="4F81BD" w:themeColor="accent1"/>
      <w:kern w:val="28"/>
    </w:rPr>
  </w:style>
  <w:style w:type="character" w:styleId="Collegamentovisitato">
    <w:name w:val="FollowedHyperlink"/>
    <w:basedOn w:val="Carpredefinitoparagrafo"/>
    <w:uiPriority w:val="99"/>
    <w:semiHidden/>
    <w:unhideWhenUsed/>
    <w:rsid w:val="00307657"/>
    <w:rPr>
      <w:color w:val="800080" w:themeColor="followedHyperlink"/>
      <w:u w:val="single"/>
    </w:rPr>
  </w:style>
  <w:style w:type="paragraph" w:styleId="Revisione">
    <w:name w:val="Revision"/>
    <w:hidden/>
    <w:uiPriority w:val="71"/>
    <w:rsid w:val="00307657"/>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4750334">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75593832">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17978310">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4344896">
      <w:bodyDiv w:val="1"/>
      <w:marLeft w:val="0"/>
      <w:marRight w:val="0"/>
      <w:marTop w:val="0"/>
      <w:marBottom w:val="0"/>
      <w:divBdr>
        <w:top w:val="none" w:sz="0" w:space="0" w:color="auto"/>
        <w:left w:val="none" w:sz="0" w:space="0" w:color="auto"/>
        <w:bottom w:val="none" w:sz="0" w:space="0" w:color="auto"/>
        <w:right w:val="none" w:sz="0" w:space="0" w:color="auto"/>
      </w:divBdr>
    </w:div>
    <w:div w:id="252589012">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3579130">
      <w:bodyDiv w:val="1"/>
      <w:marLeft w:val="0"/>
      <w:marRight w:val="0"/>
      <w:marTop w:val="0"/>
      <w:marBottom w:val="0"/>
      <w:divBdr>
        <w:top w:val="none" w:sz="0" w:space="0" w:color="auto"/>
        <w:left w:val="none" w:sz="0" w:space="0" w:color="auto"/>
        <w:bottom w:val="none" w:sz="0" w:space="0" w:color="auto"/>
        <w:right w:val="none" w:sz="0" w:space="0" w:color="auto"/>
      </w:divBdr>
    </w:div>
    <w:div w:id="368846764">
      <w:bodyDiv w:val="1"/>
      <w:marLeft w:val="0"/>
      <w:marRight w:val="0"/>
      <w:marTop w:val="0"/>
      <w:marBottom w:val="0"/>
      <w:divBdr>
        <w:top w:val="none" w:sz="0" w:space="0" w:color="auto"/>
        <w:left w:val="none" w:sz="0" w:space="0" w:color="auto"/>
        <w:bottom w:val="none" w:sz="0" w:space="0" w:color="auto"/>
        <w:right w:val="none" w:sz="0" w:space="0" w:color="auto"/>
      </w:divBdr>
    </w:div>
    <w:div w:id="378476468">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3695070">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1207">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598607199">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098433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3602440">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60948896">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798761380">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054123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54880442">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5583641">
      <w:bodyDiv w:val="1"/>
      <w:marLeft w:val="0"/>
      <w:marRight w:val="0"/>
      <w:marTop w:val="0"/>
      <w:marBottom w:val="0"/>
      <w:divBdr>
        <w:top w:val="none" w:sz="0" w:space="0" w:color="auto"/>
        <w:left w:val="none" w:sz="0" w:space="0" w:color="auto"/>
        <w:bottom w:val="none" w:sz="0" w:space="0" w:color="auto"/>
        <w:right w:val="none" w:sz="0" w:space="0" w:color="auto"/>
      </w:divBdr>
    </w:div>
    <w:div w:id="880747628">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2663943">
      <w:bodyDiv w:val="1"/>
      <w:marLeft w:val="0"/>
      <w:marRight w:val="0"/>
      <w:marTop w:val="0"/>
      <w:marBottom w:val="0"/>
      <w:divBdr>
        <w:top w:val="none" w:sz="0" w:space="0" w:color="auto"/>
        <w:left w:val="none" w:sz="0" w:space="0" w:color="auto"/>
        <w:bottom w:val="none" w:sz="0" w:space="0" w:color="auto"/>
        <w:right w:val="none" w:sz="0" w:space="0" w:color="auto"/>
      </w:divBdr>
    </w:div>
    <w:div w:id="913321603">
      <w:bodyDiv w:val="1"/>
      <w:marLeft w:val="0"/>
      <w:marRight w:val="0"/>
      <w:marTop w:val="0"/>
      <w:marBottom w:val="0"/>
      <w:divBdr>
        <w:top w:val="none" w:sz="0" w:space="0" w:color="auto"/>
        <w:left w:val="none" w:sz="0" w:space="0" w:color="auto"/>
        <w:bottom w:val="none" w:sz="0" w:space="0" w:color="auto"/>
        <w:right w:val="none" w:sz="0" w:space="0" w:color="auto"/>
      </w:divBdr>
    </w:div>
    <w:div w:id="939801416">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33845968">
      <w:bodyDiv w:val="1"/>
      <w:marLeft w:val="0"/>
      <w:marRight w:val="0"/>
      <w:marTop w:val="0"/>
      <w:marBottom w:val="0"/>
      <w:divBdr>
        <w:top w:val="none" w:sz="0" w:space="0" w:color="auto"/>
        <w:left w:val="none" w:sz="0" w:space="0" w:color="auto"/>
        <w:bottom w:val="none" w:sz="0" w:space="0" w:color="auto"/>
        <w:right w:val="none" w:sz="0" w:space="0" w:color="auto"/>
      </w:divBdr>
      <w:divsChild>
        <w:div w:id="1088041986">
          <w:marLeft w:val="0"/>
          <w:marRight w:val="0"/>
          <w:marTop w:val="0"/>
          <w:marBottom w:val="0"/>
          <w:divBdr>
            <w:top w:val="none" w:sz="0" w:space="0" w:color="auto"/>
            <w:left w:val="none" w:sz="0" w:space="0" w:color="auto"/>
            <w:bottom w:val="none" w:sz="0" w:space="0" w:color="auto"/>
            <w:right w:val="none" w:sz="0" w:space="0" w:color="auto"/>
          </w:divBdr>
        </w:div>
      </w:divsChild>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135608306">
      <w:bodyDiv w:val="1"/>
      <w:marLeft w:val="0"/>
      <w:marRight w:val="0"/>
      <w:marTop w:val="0"/>
      <w:marBottom w:val="0"/>
      <w:divBdr>
        <w:top w:val="none" w:sz="0" w:space="0" w:color="auto"/>
        <w:left w:val="none" w:sz="0" w:space="0" w:color="auto"/>
        <w:bottom w:val="none" w:sz="0" w:space="0" w:color="auto"/>
        <w:right w:val="none" w:sz="0" w:space="0" w:color="auto"/>
      </w:divBdr>
    </w:div>
    <w:div w:id="116852230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71565996">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21177192">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48029264">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1449103">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20394873">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2605394">
      <w:bodyDiv w:val="1"/>
      <w:marLeft w:val="0"/>
      <w:marRight w:val="0"/>
      <w:marTop w:val="0"/>
      <w:marBottom w:val="0"/>
      <w:divBdr>
        <w:top w:val="none" w:sz="0" w:space="0" w:color="auto"/>
        <w:left w:val="none" w:sz="0" w:space="0" w:color="auto"/>
        <w:bottom w:val="none" w:sz="0" w:space="0" w:color="auto"/>
        <w:right w:val="none" w:sz="0" w:space="0" w:color="auto"/>
      </w:divBdr>
      <w:divsChild>
        <w:div w:id="189226520">
          <w:marLeft w:val="0"/>
          <w:marRight w:val="0"/>
          <w:marTop w:val="0"/>
          <w:marBottom w:val="0"/>
          <w:divBdr>
            <w:top w:val="none" w:sz="0" w:space="0" w:color="auto"/>
            <w:left w:val="none" w:sz="0" w:space="0" w:color="auto"/>
            <w:bottom w:val="none" w:sz="0" w:space="0" w:color="auto"/>
            <w:right w:val="none" w:sz="0" w:space="0" w:color="auto"/>
          </w:divBdr>
        </w:div>
      </w:divsChild>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65555478">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3487114">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9755028">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7897202">
      <w:bodyDiv w:val="1"/>
      <w:marLeft w:val="0"/>
      <w:marRight w:val="0"/>
      <w:marTop w:val="0"/>
      <w:marBottom w:val="0"/>
      <w:divBdr>
        <w:top w:val="none" w:sz="0" w:space="0" w:color="auto"/>
        <w:left w:val="none" w:sz="0" w:space="0" w:color="auto"/>
        <w:bottom w:val="none" w:sz="0" w:space="0" w:color="auto"/>
        <w:right w:val="none" w:sz="0" w:space="0" w:color="auto"/>
      </w:divBdr>
    </w:div>
    <w:div w:id="211262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yperlink" Target="https://www.istat.it/it/informazioni-e-servizi/per-i-giornalisti/appuntamenti/calendario-diffusioni-ed-eventi"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eur-lex.europa.eu/legal-content/IT/TXT/?uri=CELEX%3A32016R0792" TargetMode="External"/><Relationship Id="rId42" Type="http://schemas.openxmlformats.org/officeDocument/2006/relationships/hyperlink" Target="http://dati-congiuntura.istat.it/" TargetMode="External"/><Relationship Id="rId47" Type="http://schemas.openxmlformats.org/officeDocument/2006/relationships/hyperlink" Target="mailto:muratore@istat.i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hyperlink" Target="mailto:rosabel.ricci@istat.it" TargetMode="External"/><Relationship Id="rId2" Type="http://schemas.openxmlformats.org/officeDocument/2006/relationships/customXml" Target="../customXml/item2.xml"/><Relationship Id="rId16" Type="http://schemas.openxmlformats.org/officeDocument/2006/relationships/hyperlink" Target="http://dati.istat.it/"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dati.istat.i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ec.europa.eu/eurostat/ramon/nomenclatures/index.cfm?TargetUrl=DSP_GEN_DESC_VIEW_NOHDR&amp;StrNom=COICOP_5&amp;StrLanguageCode=EN" TargetMode="External"/><Relationship Id="rId37" Type="http://schemas.openxmlformats.org/officeDocument/2006/relationships/hyperlink" Target="http://www.istat.it/it/congiuntura/revisioni" TargetMode="External"/><Relationship Id="rId40" Type="http://schemas.openxmlformats.org/officeDocument/2006/relationships/hyperlink" Target="https://www.istat.it/it/archivio/prezzi+al+consumo" TargetMode="External"/><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hyperlink" Target="https://www.istat.it/it/files/2011/04/dlgs322.pdf"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ec.europa.eu/eurostat/data/database%2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yperlink" Target="https://eur-lex.europa.eu/legal-content/IT/TXT/?uri=CELEX:32020R1148" TargetMode="External"/><Relationship Id="rId43" Type="http://schemas.openxmlformats.org/officeDocument/2006/relationships/hyperlink" Target="http://seriestoriche.istat.it/" TargetMode="External"/><Relationship Id="rId48" Type="http://schemas.openxmlformats.org/officeDocument/2006/relationships/fontTable" Target="fontTable.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dati.istat.it/" TargetMode="External"/><Relationship Id="rId2" Type="http://schemas.openxmlformats.org/officeDocument/2006/relationships/hyperlink" Target="http://ec.europa.eu/eurostat/documents/3859598/5926625/KS-RA-13-017-EN.PDF/59eb2c1c-da1f-472c-b191-3d0c76521f9b?version=1.0" TargetMode="External"/><Relationship Id="rId1" Type="http://schemas.openxmlformats.org/officeDocument/2006/relationships/hyperlink" Target="http://ec.europa.eu/eurostat/ramon/nomenclatures/index.cfm?TargetUrl=LST_NOM_DTL&amp;StrNom=HICP_2000&amp;StrLanguageCode=EN&amp;IntPcKey=&amp;StrLayout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4356-5B5F-419C-B686-0B79A877A076}">
  <ds:schemaRefs>
    <ds:schemaRef ds:uri="http://schemas.microsoft.com/sharepoint/v3/contenttype/forms"/>
  </ds:schemaRefs>
</ds:datastoreItem>
</file>

<file path=customXml/itemProps2.xml><?xml version="1.0" encoding="utf-8"?>
<ds:datastoreItem xmlns:ds="http://schemas.openxmlformats.org/officeDocument/2006/customXml" ds:itemID="{E2E68921-35FA-472F-9A9B-31C6B1C2992E}">
  <ds:schemaRefs>
    <ds:schemaRef ds:uri="http://schemas.microsoft.com/office/2006/metadata/longProperties"/>
  </ds:schemaRefs>
</ds:datastoreItem>
</file>

<file path=customXml/itemProps3.xml><?xml version="1.0" encoding="utf-8"?>
<ds:datastoreItem xmlns:ds="http://schemas.openxmlformats.org/officeDocument/2006/customXml" ds:itemID="{D06F6CA5-FB0D-431F-8457-B546C50DE59F}">
  <ds:schemaRefs>
    <ds:schemaRef ds:uri="http://schemas.microsoft.com/sharepoint/events"/>
  </ds:schemaRefs>
</ds:datastoreItem>
</file>

<file path=customXml/itemProps4.xml><?xml version="1.0" encoding="utf-8"?>
<ds:datastoreItem xmlns:ds="http://schemas.openxmlformats.org/officeDocument/2006/customXml" ds:itemID="{8D47A1EC-2410-43DC-8477-27E106DC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D83F46-1395-4645-806B-91E455B2C2F5}">
  <ds:schemaRefs>
    <ds:schemaRef ds:uri="2886d22a-1eb9-406b-961e-e52bb60f591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F68E1071-D68A-4AEA-BD05-CBBE6F9E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7266</TotalTime>
  <Pages>21</Pages>
  <Words>10400</Words>
  <Characters>60445</Characters>
  <Application>Microsoft Office Word</Application>
  <DocSecurity>0</DocSecurity>
  <Lines>503</Lines>
  <Paragraphs>141</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70704</CharactersWithSpaces>
  <SharedDoc>false</SharedDoc>
  <HLinks>
    <vt:vector size="102" baseType="variant">
      <vt:variant>
        <vt:i4>7340157</vt:i4>
      </vt:variant>
      <vt:variant>
        <vt:i4>63</vt:i4>
      </vt:variant>
      <vt:variant>
        <vt:i4>0</vt:i4>
      </vt:variant>
      <vt:variant>
        <vt:i4>5</vt:i4>
      </vt:variant>
      <vt:variant>
        <vt:lpwstr>http://ec.europa.eu/eurostat/data/database</vt:lpwstr>
      </vt:variant>
      <vt:variant>
        <vt:lpwstr/>
      </vt:variant>
      <vt:variant>
        <vt:i4>6291582</vt:i4>
      </vt:variant>
      <vt:variant>
        <vt:i4>60</vt:i4>
      </vt:variant>
      <vt:variant>
        <vt:i4>0</vt:i4>
      </vt:variant>
      <vt:variant>
        <vt:i4>5</vt:i4>
      </vt:variant>
      <vt:variant>
        <vt:lpwstr>http://seriestoriche.istat.it/</vt:lpwstr>
      </vt:variant>
      <vt:variant>
        <vt:lpwstr/>
      </vt:variant>
      <vt:variant>
        <vt:i4>720927</vt:i4>
      </vt:variant>
      <vt:variant>
        <vt:i4>57</vt:i4>
      </vt:variant>
      <vt:variant>
        <vt:i4>0</vt:i4>
      </vt:variant>
      <vt:variant>
        <vt:i4>5</vt:i4>
      </vt:variant>
      <vt:variant>
        <vt:lpwstr>http://dati-congiuntura.istat.it/</vt:lpwstr>
      </vt:variant>
      <vt:variant>
        <vt:lpwstr/>
      </vt:variant>
      <vt:variant>
        <vt:i4>6094849</vt:i4>
      </vt:variant>
      <vt:variant>
        <vt:i4>54</vt:i4>
      </vt:variant>
      <vt:variant>
        <vt:i4>0</vt:i4>
      </vt:variant>
      <vt:variant>
        <vt:i4>5</vt:i4>
      </vt:variant>
      <vt:variant>
        <vt:lpwstr>http://dati.istat.it/</vt:lpwstr>
      </vt:variant>
      <vt:variant>
        <vt:lpwstr/>
      </vt:variant>
      <vt:variant>
        <vt:i4>2031702</vt:i4>
      </vt:variant>
      <vt:variant>
        <vt:i4>51</vt:i4>
      </vt:variant>
      <vt:variant>
        <vt:i4>0</vt:i4>
      </vt:variant>
      <vt:variant>
        <vt:i4>5</vt:i4>
      </vt:variant>
      <vt:variant>
        <vt:lpwstr>http://www.istat.it/it/prezzi</vt:lpwstr>
      </vt:variant>
      <vt:variant>
        <vt:lpwstr/>
      </vt:variant>
      <vt:variant>
        <vt:i4>5832734</vt:i4>
      </vt:variant>
      <vt:variant>
        <vt:i4>48</vt:i4>
      </vt:variant>
      <vt:variant>
        <vt:i4>0</vt:i4>
      </vt:variant>
      <vt:variant>
        <vt:i4>5</vt:i4>
      </vt:variant>
      <vt:variant>
        <vt:lpwstr>https://www.istat.it/it/informazioni-e-servizi/per-i-giornalisti/appuntamenti/calendario-diffusioni-ed-eventi</vt:lpwstr>
      </vt:variant>
      <vt:variant>
        <vt:lpwstr/>
      </vt:variant>
      <vt:variant>
        <vt:i4>2031617</vt:i4>
      </vt:variant>
      <vt:variant>
        <vt:i4>42</vt:i4>
      </vt:variant>
      <vt:variant>
        <vt:i4>0</vt:i4>
      </vt:variant>
      <vt:variant>
        <vt:i4>5</vt:i4>
      </vt:variant>
      <vt:variant>
        <vt:lpwstr>http://www.istat.it/it/congiuntura/revisioni</vt:lpwstr>
      </vt:variant>
      <vt:variant>
        <vt:lpwstr/>
      </vt:variant>
      <vt:variant>
        <vt:i4>7012425</vt:i4>
      </vt:variant>
      <vt:variant>
        <vt:i4>39</vt:i4>
      </vt:variant>
      <vt:variant>
        <vt:i4>0</vt:i4>
      </vt:variant>
      <vt:variant>
        <vt:i4>5</vt:i4>
      </vt:variant>
      <vt:variant>
        <vt:lpwstr>http://siqual.istat.it/SIQual/files/impo_reg330_2009_it.pdf?cod=13472&amp;tipo=2</vt:lpwstr>
      </vt:variant>
      <vt:variant>
        <vt:lpwstr/>
      </vt:variant>
      <vt:variant>
        <vt:i4>1704030</vt:i4>
      </vt:variant>
      <vt:variant>
        <vt:i4>36</vt:i4>
      </vt:variant>
      <vt:variant>
        <vt:i4>0</vt:i4>
      </vt:variant>
      <vt:variant>
        <vt:i4>5</vt:i4>
      </vt:variant>
      <vt:variant>
        <vt:lpwstr>http://eur-lex.europa.eu/legal-content/IT/TXT/?uri=CELEX%3A32016R0792</vt:lpwstr>
      </vt:variant>
      <vt:variant>
        <vt:lpwstr/>
      </vt:variant>
      <vt:variant>
        <vt:i4>1835016</vt:i4>
      </vt:variant>
      <vt:variant>
        <vt:i4>33</vt:i4>
      </vt:variant>
      <vt:variant>
        <vt:i4>0</vt:i4>
      </vt:variant>
      <vt:variant>
        <vt:i4>5</vt:i4>
      </vt:variant>
      <vt:variant>
        <vt:lpwstr>https://www.istat.it/it/files/2011/04/dlgs322.pdf</vt:lpwstr>
      </vt:variant>
      <vt:variant>
        <vt:lpwstr/>
      </vt:variant>
      <vt:variant>
        <vt:i4>1704030</vt:i4>
      </vt:variant>
      <vt:variant>
        <vt:i4>30</vt:i4>
      </vt:variant>
      <vt:variant>
        <vt:i4>0</vt:i4>
      </vt:variant>
      <vt:variant>
        <vt:i4>5</vt:i4>
      </vt:variant>
      <vt:variant>
        <vt:lpwstr>http://eur-lex.europa.eu/legal-content/IT/TXT/?uri=CELEX%3A32016R0792</vt:lpwstr>
      </vt:variant>
      <vt:variant>
        <vt:lpwstr/>
      </vt:variant>
      <vt:variant>
        <vt:i4>393327</vt:i4>
      </vt:variant>
      <vt:variant>
        <vt:i4>27</vt:i4>
      </vt:variant>
      <vt:variant>
        <vt:i4>0</vt:i4>
      </vt:variant>
      <vt:variant>
        <vt:i4>5</vt:i4>
      </vt:variant>
      <vt:variant>
        <vt:lpwstr>http://ec.europa.eu/eurostat/ramon/nomenclatures/index.cfm?TargetUrl=DSP_GEN_DESC_VIEW_NOHDR&amp;StrNom=COICOP_5&amp;StrLanguageCode=EN</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ariant>
        <vt:i4>6094849</vt:i4>
      </vt:variant>
      <vt:variant>
        <vt:i4>6</vt:i4>
      </vt:variant>
      <vt:variant>
        <vt:i4>0</vt:i4>
      </vt:variant>
      <vt:variant>
        <vt:i4>5</vt:i4>
      </vt:variant>
      <vt:variant>
        <vt:lpwstr>http://dati.istat.it/</vt:lpwstr>
      </vt:variant>
      <vt:variant>
        <vt:lpwstr/>
      </vt:variant>
      <vt:variant>
        <vt:i4>6422641</vt:i4>
      </vt:variant>
      <vt:variant>
        <vt:i4>3</vt:i4>
      </vt:variant>
      <vt:variant>
        <vt:i4>0</vt:i4>
      </vt:variant>
      <vt:variant>
        <vt:i4>5</vt:i4>
      </vt:variant>
      <vt:variant>
        <vt:lpwstr>http://ec.europa.eu/eurostat/documents/3859598/5926625/KS-RA-13-017-EN.PDF/59eb2c1c-da1f-472c-b191-3d0c76521f9b?version=1.0</vt:lpwstr>
      </vt:variant>
      <vt:variant>
        <vt:lpwstr/>
      </vt:variant>
      <vt:variant>
        <vt:i4>5570613</vt:i4>
      </vt:variant>
      <vt:variant>
        <vt:i4>0</vt:i4>
      </vt:variant>
      <vt:variant>
        <vt:i4>0</vt:i4>
      </vt:variant>
      <vt:variant>
        <vt:i4>5</vt:i4>
      </vt:variant>
      <vt:variant>
        <vt:lpwstr>http://ec.europa.eu/eurostat/ramon/nomenclatures/index.cfm?TargetUrl=LST_NOM_DTL&amp;StrNom=HICP_2000&amp;StrLanguageCode=EN&amp;IntPcKey=&amp;StrLayoutCode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Rosabel RR. Ricci</cp:lastModifiedBy>
  <cp:revision>304</cp:revision>
  <cp:lastPrinted>2022-02-21T07:29:00Z</cp:lastPrinted>
  <dcterms:created xsi:type="dcterms:W3CDTF">2021-02-18T07:40:00Z</dcterms:created>
  <dcterms:modified xsi:type="dcterms:W3CDTF">2022-02-22T07:05:00Z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2QYKZWF4TN2A-29-1532</vt:lpwstr>
  </property>
  <property fmtid="{D5CDD505-2E9C-101B-9397-08002B2CF9AE}" pid="3" name="_dlc_DocIdItemGuid">
    <vt:lpwstr>6b6018b3-0771-4138-8967-ced6ea3fa960</vt:lpwstr>
  </property>
  <property fmtid="{D5CDD505-2E9C-101B-9397-08002B2CF9AE}" pid="4" name="_dlc_DocIdUrl">
    <vt:lpwstr>https://collaborazione.istat.it/siti/ed/ufficio_stampa/_layouts/DocIdRedir.aspx?ID=2QYKZWF4TN2A-29-1532, 2QYKZWF4TN2A-29-1532</vt:lpwstr>
  </property>
  <property fmtid="{D5CDD505-2E9C-101B-9397-08002B2CF9AE}" pid="5" name="ContentTypeId">
    <vt:lpwstr>0x010100B795A82E90F7744F8BBD5BCEA1E47B9D00412BB8B24175FB4599016A296A388103</vt:lpwstr>
  </property>
</Properties>
</file>